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360" w:lineRule="auto"/>
        <w:jc w:val="center"/>
        <w:rPr>
          <w:rFonts w:ascii="微软雅黑" w:hAnsi="微软雅黑" w:eastAsia="微软雅黑"/>
          <w:b/>
          <w:color w:val="auto"/>
          <w:sz w:val="48"/>
        </w:rPr>
      </w:pPr>
      <w:r>
        <w:rPr>
          <w:rFonts w:hint="eastAsia" w:ascii="微软雅黑" w:hAnsi="微软雅黑" w:eastAsia="微软雅黑"/>
          <w:b/>
          <w:color w:val="auto"/>
          <w:sz w:val="48"/>
        </w:rPr>
        <w:t>产权交易合同</w:t>
      </w:r>
    </w:p>
    <w:p>
      <w:pPr>
        <w:autoSpaceDE w:val="0"/>
        <w:autoSpaceDN w:val="0"/>
        <w:snapToGrid w:val="0"/>
        <w:spacing w:line="360" w:lineRule="auto"/>
        <w:jc w:val="center"/>
        <w:outlineLvl w:val="0"/>
        <w:rPr>
          <w:rFonts w:ascii="宋体" w:hAnsi="宋体"/>
          <w:b/>
          <w:color w:val="auto"/>
          <w:sz w:val="36"/>
        </w:rPr>
      </w:pPr>
      <w:bookmarkStart w:id="0" w:name="_Toc28697"/>
      <w:bookmarkStart w:id="1" w:name="_Toc14143"/>
      <w:bookmarkStart w:id="2" w:name="_Toc15486878"/>
      <w:bookmarkStart w:id="3" w:name="_Toc3487"/>
      <w:bookmarkStart w:id="4" w:name="_Toc28386"/>
      <w:bookmarkStart w:id="5" w:name="_Toc21356"/>
      <w:bookmarkStart w:id="6" w:name="_Toc15487367"/>
      <w:bookmarkStart w:id="7" w:name="_Toc8252"/>
      <w:bookmarkStart w:id="8" w:name="_Toc863"/>
      <w:bookmarkStart w:id="9" w:name="_Toc26449"/>
      <w:bookmarkStart w:id="10" w:name="_Toc26476"/>
      <w:bookmarkStart w:id="11" w:name="_Toc14911"/>
      <w:bookmarkStart w:id="12" w:name="_Toc21242"/>
      <w:bookmarkStart w:id="13" w:name="_Toc20614"/>
      <w:bookmarkStart w:id="14" w:name="_Toc5869"/>
      <w:bookmarkStart w:id="15" w:name="_Toc15486945"/>
      <w:r>
        <w:rPr>
          <w:rFonts w:hint="eastAsia" w:ascii="宋体" w:hAnsi="宋体"/>
          <w:b/>
          <w:color w:val="auto"/>
          <w:sz w:val="36"/>
        </w:rPr>
        <w:t>(示范文本)</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autoSpaceDE w:val="0"/>
        <w:autoSpaceDN w:val="0"/>
        <w:snapToGrid w:val="0"/>
        <w:spacing w:line="360" w:lineRule="auto"/>
        <w:jc w:val="center"/>
        <w:outlineLvl w:val="0"/>
        <w:rPr>
          <w:rFonts w:ascii="宋体" w:hAnsi="宋体"/>
          <w:b/>
          <w:color w:val="auto"/>
          <w:sz w:val="36"/>
        </w:rPr>
      </w:pPr>
    </w:p>
    <w:p>
      <w:pPr>
        <w:spacing w:line="360" w:lineRule="auto"/>
        <w:ind w:firstLine="960" w:firstLineChars="400"/>
        <w:rPr>
          <w:rFonts w:ascii="宋体" w:hAnsi="宋体"/>
          <w:color w:val="auto"/>
          <w:sz w:val="24"/>
          <w:u w:val="single"/>
        </w:rPr>
      </w:pPr>
      <w:r>
        <w:rPr>
          <w:rFonts w:hint="eastAsia" w:ascii="宋体" w:hAnsi="宋体"/>
          <w:color w:val="auto"/>
          <w:sz w:val="24"/>
        </w:rPr>
        <w:t>标的企业：</w:t>
      </w:r>
      <w:r>
        <w:rPr>
          <w:rFonts w:hint="eastAsia" w:ascii="宋体" w:hAnsi="宋体" w:cs="宋体"/>
          <w:color w:val="auto"/>
          <w:sz w:val="28"/>
          <w:szCs w:val="28"/>
          <w:u w:val="single"/>
        </w:rPr>
        <w:t>中山市睿实科技有限公司</w:t>
      </w:r>
      <w:r>
        <w:rPr>
          <w:rFonts w:hint="eastAsia" w:ascii="宋体" w:hAnsi="宋体"/>
          <w:color w:val="auto"/>
          <w:sz w:val="24"/>
          <w:u w:val="single"/>
        </w:rPr>
        <w:t xml:space="preserve"> </w:t>
      </w:r>
    </w:p>
    <w:p>
      <w:pPr>
        <w:autoSpaceDE w:val="0"/>
        <w:autoSpaceDN w:val="0"/>
        <w:snapToGrid w:val="0"/>
        <w:spacing w:line="360" w:lineRule="auto"/>
        <w:jc w:val="center"/>
        <w:outlineLvl w:val="0"/>
        <w:rPr>
          <w:rFonts w:ascii="宋体" w:hAnsi="宋体"/>
          <w:b/>
          <w:color w:val="auto"/>
          <w:sz w:val="36"/>
        </w:rPr>
      </w:pPr>
    </w:p>
    <w:p>
      <w:pPr>
        <w:autoSpaceDE w:val="0"/>
        <w:autoSpaceDN w:val="0"/>
        <w:snapToGrid w:val="0"/>
        <w:spacing w:line="360" w:lineRule="auto"/>
        <w:jc w:val="center"/>
        <w:outlineLvl w:val="0"/>
        <w:rPr>
          <w:rFonts w:ascii="宋体" w:hAnsi="宋体"/>
          <w:b/>
          <w:color w:val="auto"/>
          <w:sz w:val="36"/>
        </w:rPr>
      </w:pPr>
    </w:p>
    <w:p>
      <w:pPr>
        <w:autoSpaceDE w:val="0"/>
        <w:autoSpaceDN w:val="0"/>
        <w:snapToGrid w:val="0"/>
        <w:spacing w:line="360" w:lineRule="auto"/>
        <w:jc w:val="center"/>
        <w:outlineLvl w:val="0"/>
        <w:rPr>
          <w:rFonts w:ascii="宋体" w:hAnsi="宋体"/>
          <w:b/>
          <w:color w:val="auto"/>
          <w:sz w:val="36"/>
        </w:rPr>
      </w:pPr>
    </w:p>
    <w:p>
      <w:pPr>
        <w:autoSpaceDE w:val="0"/>
        <w:autoSpaceDN w:val="0"/>
        <w:snapToGrid w:val="0"/>
        <w:spacing w:line="360" w:lineRule="auto"/>
        <w:jc w:val="center"/>
        <w:outlineLvl w:val="0"/>
        <w:rPr>
          <w:rFonts w:ascii="宋体" w:hAnsi="宋体"/>
          <w:b/>
          <w:color w:val="auto"/>
          <w:sz w:val="36"/>
        </w:rPr>
      </w:pPr>
    </w:p>
    <w:p>
      <w:pPr>
        <w:autoSpaceDE w:val="0"/>
        <w:autoSpaceDN w:val="0"/>
        <w:snapToGrid w:val="0"/>
        <w:spacing w:line="360" w:lineRule="auto"/>
        <w:jc w:val="center"/>
        <w:outlineLvl w:val="0"/>
        <w:rPr>
          <w:rFonts w:ascii="宋体" w:hAnsi="宋体"/>
          <w:b/>
          <w:color w:val="auto"/>
          <w:sz w:val="36"/>
        </w:rPr>
      </w:pPr>
    </w:p>
    <w:p>
      <w:pPr>
        <w:autoSpaceDE w:val="0"/>
        <w:autoSpaceDN w:val="0"/>
        <w:snapToGrid w:val="0"/>
        <w:spacing w:line="360" w:lineRule="auto"/>
        <w:jc w:val="center"/>
        <w:outlineLvl w:val="0"/>
        <w:rPr>
          <w:rFonts w:ascii="宋体" w:hAnsi="宋体"/>
          <w:b/>
          <w:color w:val="auto"/>
          <w:sz w:val="36"/>
        </w:rPr>
      </w:pPr>
    </w:p>
    <w:p>
      <w:pPr>
        <w:autoSpaceDE w:val="0"/>
        <w:autoSpaceDN w:val="0"/>
        <w:snapToGrid w:val="0"/>
        <w:spacing w:line="360" w:lineRule="auto"/>
        <w:jc w:val="center"/>
        <w:outlineLvl w:val="0"/>
        <w:rPr>
          <w:rFonts w:ascii="宋体" w:hAnsi="宋体"/>
          <w:b/>
          <w:color w:val="auto"/>
          <w:sz w:val="36"/>
        </w:rPr>
      </w:pPr>
    </w:p>
    <w:p>
      <w:pPr>
        <w:autoSpaceDE w:val="0"/>
        <w:autoSpaceDN w:val="0"/>
        <w:spacing w:line="360" w:lineRule="auto"/>
        <w:jc w:val="center"/>
        <w:rPr>
          <w:b/>
          <w:color w:val="auto"/>
          <w:sz w:val="24"/>
        </w:rPr>
      </w:pPr>
    </w:p>
    <w:p>
      <w:pPr>
        <w:autoSpaceDE w:val="0"/>
        <w:autoSpaceDN w:val="0"/>
        <w:spacing w:line="360" w:lineRule="auto"/>
        <w:jc w:val="center"/>
        <w:rPr>
          <w:color w:val="auto"/>
          <w:sz w:val="24"/>
        </w:rPr>
      </w:pPr>
    </w:p>
    <w:p>
      <w:pPr>
        <w:snapToGrid w:val="0"/>
        <w:spacing w:line="360" w:lineRule="auto"/>
        <w:jc w:val="center"/>
        <w:textAlignment w:val="baseline"/>
        <w:rPr>
          <w:rFonts w:ascii="宋体" w:hAnsi="宋体"/>
          <w:b/>
          <w:color w:val="auto"/>
          <w:sz w:val="36"/>
        </w:rPr>
      </w:pPr>
      <w:r>
        <w:rPr>
          <w:rFonts w:hint="eastAsia" w:ascii="宋体" w:hAnsi="宋体"/>
          <w:b/>
          <w:color w:val="auto"/>
          <w:sz w:val="36"/>
        </w:rPr>
        <w:br w:type="page"/>
      </w:r>
      <w:r>
        <w:rPr>
          <w:rFonts w:hint="eastAsia" w:ascii="宋体" w:hAnsi="宋体"/>
          <w:b/>
          <w:color w:val="auto"/>
          <w:sz w:val="36"/>
        </w:rPr>
        <w:t>合同使用须知</w:t>
      </w:r>
    </w:p>
    <w:p>
      <w:pPr>
        <w:snapToGrid w:val="0"/>
        <w:spacing w:line="360" w:lineRule="auto"/>
        <w:jc w:val="center"/>
        <w:textAlignment w:val="baseline"/>
        <w:rPr>
          <w:rFonts w:ascii="宋体" w:hAnsi="宋体"/>
          <w:b/>
          <w:color w:val="auto"/>
        </w:rPr>
      </w:pPr>
    </w:p>
    <w:p>
      <w:pPr>
        <w:snapToGrid w:val="0"/>
        <w:spacing w:line="360" w:lineRule="auto"/>
        <w:ind w:firstLine="420" w:firstLineChars="200"/>
        <w:textAlignment w:val="baseline"/>
        <w:rPr>
          <w:rFonts w:ascii="宋体" w:hAnsi="宋体"/>
          <w:color w:val="auto"/>
        </w:rPr>
      </w:pPr>
      <w:r>
        <w:rPr>
          <w:rFonts w:hint="eastAsia" w:ascii="宋体" w:hAnsi="宋体"/>
          <w:color w:val="auto"/>
        </w:rPr>
        <w:t>一、本合同文本是根据《中华人民共和国民法典》制定。合同条款所列内容，包括括号中所列内容，均由合同当事人约定时选择采用。</w:t>
      </w:r>
    </w:p>
    <w:p>
      <w:pPr>
        <w:snapToGrid w:val="0"/>
        <w:spacing w:line="360" w:lineRule="auto"/>
        <w:ind w:firstLine="420" w:firstLineChars="200"/>
        <w:textAlignment w:val="baseline"/>
        <w:rPr>
          <w:rFonts w:ascii="宋体" w:hAnsi="宋体"/>
          <w:color w:val="auto"/>
        </w:rPr>
      </w:pPr>
      <w:r>
        <w:rPr>
          <w:rFonts w:hint="eastAsia" w:ascii="宋体" w:hAnsi="宋体"/>
          <w:color w:val="auto"/>
        </w:rPr>
        <w:t>二、为更好地维护各方当事人的权益，签订合同时应当慎重，力求具体、严密。订立具体条款，需要约定的必须表述清楚，无须约定的用“本合同不涉及此条款”或“本合同对此条款无须约定”加以载明或删除。</w:t>
      </w:r>
    </w:p>
    <w:p>
      <w:pPr>
        <w:snapToGrid w:val="0"/>
        <w:spacing w:line="360" w:lineRule="auto"/>
        <w:ind w:firstLine="420" w:firstLineChars="200"/>
        <w:textAlignment w:val="baseline"/>
        <w:rPr>
          <w:rFonts w:ascii="宋体" w:hAnsi="宋体"/>
          <w:color w:val="auto"/>
        </w:rPr>
      </w:pPr>
      <w:r>
        <w:rPr>
          <w:rFonts w:hint="eastAsia" w:ascii="宋体" w:hAnsi="宋体"/>
          <w:color w:val="auto"/>
        </w:rPr>
        <w:t>三、转让方：指持有标的公司产权或股权并能够依法转让产权或股权的法人、自然人或者非法人组织。</w:t>
      </w:r>
    </w:p>
    <w:p>
      <w:pPr>
        <w:snapToGrid w:val="0"/>
        <w:spacing w:line="360" w:lineRule="auto"/>
        <w:ind w:firstLine="420" w:firstLineChars="200"/>
        <w:textAlignment w:val="baseline"/>
        <w:rPr>
          <w:rFonts w:ascii="宋体" w:hAnsi="宋体"/>
          <w:color w:val="auto"/>
        </w:rPr>
      </w:pPr>
      <w:r>
        <w:rPr>
          <w:rFonts w:hint="eastAsia" w:ascii="宋体" w:hAnsi="宋体"/>
          <w:color w:val="auto"/>
        </w:rPr>
        <w:t>四、受让方：指通过珠海产权交易中心，以有偿方式取得产权或股权的法人、自然人或者非法人组织。</w:t>
      </w:r>
    </w:p>
    <w:p>
      <w:pPr>
        <w:snapToGrid w:val="0"/>
        <w:spacing w:line="360" w:lineRule="auto"/>
        <w:ind w:firstLine="420" w:firstLineChars="200"/>
        <w:textAlignment w:val="baseline"/>
        <w:rPr>
          <w:rFonts w:ascii="宋体" w:hAnsi="宋体"/>
          <w:color w:val="auto"/>
        </w:rPr>
      </w:pPr>
      <w:r>
        <w:rPr>
          <w:rFonts w:hint="eastAsia" w:ascii="宋体" w:hAnsi="宋体"/>
          <w:color w:val="auto"/>
        </w:rPr>
        <w:t>五、合同涉及当事人基本概况的填写：应按相关法律法规要求载明。当事人如系自然人的，应载明其姓名、身份证号码（护照号码）、居住地址等；如系非自然人，应载明其名称、住所、法定代表人/负责人等。合同涉及的转让方、受让方是多方的，均应分别载明。</w:t>
      </w:r>
    </w:p>
    <w:p>
      <w:pPr>
        <w:snapToGrid w:val="0"/>
        <w:spacing w:line="360" w:lineRule="auto"/>
        <w:ind w:firstLine="420" w:firstLineChars="200"/>
        <w:textAlignment w:val="baseline"/>
        <w:rPr>
          <w:rFonts w:ascii="宋体" w:hAnsi="宋体"/>
          <w:color w:val="auto"/>
        </w:rPr>
      </w:pPr>
      <w:r>
        <w:rPr>
          <w:rFonts w:hint="eastAsia" w:ascii="宋体" w:hAnsi="宋体"/>
          <w:color w:val="auto"/>
        </w:rPr>
        <w:t>六、产权转让标的：指法人、自然人或非法人组织合法拥有的对标的企业享有的权益。</w:t>
      </w:r>
    </w:p>
    <w:p>
      <w:pPr>
        <w:snapToGrid w:val="0"/>
        <w:spacing w:line="360" w:lineRule="auto"/>
        <w:ind w:firstLine="420" w:firstLineChars="200"/>
        <w:textAlignment w:val="baseline"/>
        <w:rPr>
          <w:rFonts w:ascii="宋体" w:hAnsi="宋体"/>
          <w:color w:val="auto"/>
        </w:rPr>
      </w:pPr>
      <w:r>
        <w:rPr>
          <w:rFonts w:hint="eastAsia" w:ascii="宋体" w:hAnsi="宋体"/>
          <w:color w:val="auto"/>
        </w:rPr>
        <w:t>七、转让价格：企业国有产权转让必须经资产评估后，作为转让价格的参考依据。</w:t>
      </w:r>
    </w:p>
    <w:p>
      <w:pPr>
        <w:snapToGrid w:val="0"/>
        <w:spacing w:line="360" w:lineRule="auto"/>
        <w:ind w:firstLine="420" w:firstLineChars="200"/>
        <w:textAlignment w:val="baseline"/>
        <w:rPr>
          <w:rFonts w:ascii="宋体" w:hAnsi="宋体"/>
          <w:color w:val="auto"/>
        </w:rPr>
      </w:pPr>
      <w:r>
        <w:rPr>
          <w:rFonts w:hint="eastAsia" w:ascii="宋体" w:hAnsi="宋体"/>
          <w:color w:val="auto"/>
        </w:rPr>
        <w:t>八、产权转让涉及的企业职工安置：指按照有关规定，涉及转让企业职工安置的，安置方案应当经职工代表大会或职工大会审议通过，并在合同中明确安置的相关事项。</w:t>
      </w:r>
    </w:p>
    <w:p>
      <w:pPr>
        <w:snapToGrid w:val="0"/>
        <w:spacing w:line="360" w:lineRule="auto"/>
        <w:ind w:firstLine="420" w:firstLineChars="200"/>
        <w:textAlignment w:val="baseline"/>
        <w:rPr>
          <w:rFonts w:ascii="宋体" w:hAnsi="宋体"/>
          <w:color w:val="auto"/>
        </w:rPr>
      </w:pPr>
      <w:r>
        <w:rPr>
          <w:rFonts w:hint="eastAsia" w:ascii="宋体" w:hAnsi="宋体"/>
          <w:color w:val="auto"/>
        </w:rPr>
        <w:t>九、产权转让涉及的企业债权、债务处理：如交易双方对转让标的企业涉及的债权、债务的处理有特殊要求的，应在合同中列明处理方式。</w:t>
      </w:r>
    </w:p>
    <w:p>
      <w:pPr>
        <w:snapToGrid w:val="0"/>
        <w:spacing w:line="360" w:lineRule="auto"/>
        <w:ind w:firstLine="420" w:firstLineChars="200"/>
        <w:textAlignment w:val="baseline"/>
        <w:rPr>
          <w:rFonts w:ascii="宋体" w:hAnsi="宋体"/>
          <w:color w:val="auto"/>
        </w:rPr>
      </w:pPr>
      <w:r>
        <w:rPr>
          <w:rFonts w:hint="eastAsia" w:ascii="宋体" w:hAnsi="宋体"/>
          <w:color w:val="auto"/>
        </w:rPr>
        <w:t>十、产权交易基准日：指经交易双方在合同中约定的产权转让标的价值体现的特定时点。</w:t>
      </w:r>
    </w:p>
    <w:p>
      <w:pPr>
        <w:snapToGrid w:val="0"/>
        <w:spacing w:line="360" w:lineRule="auto"/>
        <w:ind w:firstLine="420" w:firstLineChars="200"/>
        <w:textAlignment w:val="baseline"/>
        <w:rPr>
          <w:rFonts w:ascii="宋体" w:hAnsi="宋体"/>
          <w:color w:val="auto"/>
        </w:rPr>
      </w:pPr>
      <w:r>
        <w:rPr>
          <w:rFonts w:hint="eastAsia" w:ascii="宋体" w:hAnsi="宋体"/>
          <w:color w:val="auto"/>
        </w:rPr>
        <w:t>十一、违约责任：当事人既约定违约金又约定定金的，一方违约时，对方可以选择适用违约金或定金条款。</w:t>
      </w:r>
    </w:p>
    <w:p>
      <w:pPr>
        <w:snapToGrid w:val="0"/>
        <w:spacing w:line="360" w:lineRule="auto"/>
        <w:ind w:firstLine="420" w:firstLineChars="200"/>
        <w:textAlignment w:val="baseline"/>
        <w:rPr>
          <w:rFonts w:ascii="宋体" w:hAnsi="宋体"/>
          <w:color w:val="auto"/>
        </w:rPr>
      </w:pPr>
      <w:r>
        <w:rPr>
          <w:rFonts w:hint="eastAsia" w:ascii="宋体" w:hAnsi="宋体"/>
          <w:color w:val="auto"/>
        </w:rPr>
        <w:t>十二、争议的解决方式，除协商和调解方式外，合同当事人还可以选择仲裁或诉讼方式。</w:t>
      </w:r>
    </w:p>
    <w:p>
      <w:pPr>
        <w:snapToGrid w:val="0"/>
        <w:spacing w:line="360" w:lineRule="auto"/>
        <w:textAlignment w:val="baseline"/>
        <w:rPr>
          <w:rFonts w:ascii="宋体" w:hAnsi="宋体"/>
          <w:color w:val="auto"/>
        </w:rPr>
      </w:pPr>
      <w:r>
        <w:rPr>
          <w:rFonts w:hint="eastAsia" w:ascii="宋体" w:hAnsi="宋体"/>
          <w:color w:val="auto"/>
        </w:rPr>
        <w:t xml:space="preserve">    十三、珠海产权交易中心郑重声明：本合同范本仅供在本交易中心进行产</w:t>
      </w:r>
      <w:r>
        <w:rPr>
          <w:rFonts w:ascii="宋体" w:hAnsi="宋体"/>
          <w:color w:val="auto"/>
        </w:rPr>
        <w:t>（</w:t>
      </w:r>
      <w:r>
        <w:rPr>
          <w:rFonts w:hint="eastAsia" w:ascii="宋体" w:hAnsi="宋体"/>
          <w:color w:val="auto"/>
        </w:rPr>
        <w:t>股</w:t>
      </w:r>
      <w:r>
        <w:rPr>
          <w:rFonts w:ascii="宋体" w:hAnsi="宋体"/>
          <w:color w:val="auto"/>
        </w:rPr>
        <w:t>）</w:t>
      </w:r>
      <w:r>
        <w:rPr>
          <w:rFonts w:hint="eastAsia" w:ascii="宋体" w:hAnsi="宋体"/>
          <w:color w:val="auto"/>
        </w:rPr>
        <w:t>权交易的双方根据其实际情况选择使用。本交易中心不因制作和/或提供本合同范本而承担任何保证义务，包括但不限于保证本合同范本条款内容完备、保证交易双方签约目的的真实、保证交易双方的签约主体资格适格、保证交易双方为签订本合同而做出的声明及承诺以及提供的文件资料真实准确等一切保证责任。</w:t>
      </w:r>
    </w:p>
    <w:p>
      <w:pPr>
        <w:snapToGrid w:val="0"/>
        <w:spacing w:line="360" w:lineRule="auto"/>
        <w:textAlignment w:val="baseline"/>
        <w:rPr>
          <w:rFonts w:ascii="宋体" w:hAnsi="宋体"/>
          <w:color w:val="auto"/>
        </w:rPr>
      </w:pPr>
    </w:p>
    <w:p>
      <w:pPr>
        <w:autoSpaceDE w:val="0"/>
        <w:autoSpaceDN w:val="0"/>
        <w:spacing w:line="360" w:lineRule="auto"/>
        <w:jc w:val="center"/>
        <w:textAlignment w:val="baseline"/>
        <w:rPr>
          <w:rFonts w:ascii="宋体" w:hAnsi="宋体"/>
          <w:b/>
          <w:color w:val="auto"/>
          <w:sz w:val="24"/>
        </w:rPr>
      </w:pPr>
      <w:r>
        <w:rPr>
          <w:rFonts w:hint="eastAsia" w:ascii="宋体" w:hAnsi="宋体"/>
          <w:b/>
          <w:color w:val="auto"/>
        </w:rPr>
        <w:br w:type="page"/>
      </w:r>
      <w:r>
        <w:rPr>
          <w:rFonts w:hint="eastAsia" w:ascii="宋体" w:hAnsi="宋体"/>
          <w:b/>
          <w:color w:val="auto"/>
          <w:sz w:val="32"/>
        </w:rPr>
        <w:t>本合同当事人</w:t>
      </w:r>
    </w:p>
    <w:p>
      <w:pPr>
        <w:autoSpaceDE w:val="0"/>
        <w:autoSpaceDN w:val="0"/>
        <w:spacing w:line="360" w:lineRule="auto"/>
        <w:jc w:val="center"/>
        <w:rPr>
          <w:rFonts w:ascii="宋体" w:hAnsi="宋体"/>
          <w:b/>
          <w:color w:val="auto"/>
          <w:sz w:val="24"/>
        </w:rPr>
      </w:pPr>
    </w:p>
    <w:p>
      <w:pPr>
        <w:autoSpaceDE w:val="0"/>
        <w:autoSpaceDN w:val="0"/>
        <w:spacing w:line="560" w:lineRule="exact"/>
        <w:jc w:val="center"/>
        <w:rPr>
          <w:rFonts w:ascii="宋体" w:hAnsi="宋体"/>
          <w:color w:val="auto"/>
          <w:sz w:val="24"/>
        </w:rPr>
      </w:pPr>
    </w:p>
    <w:p>
      <w:pPr>
        <w:autoSpaceDE w:val="0"/>
        <w:autoSpaceDN w:val="0"/>
        <w:snapToGrid w:val="0"/>
        <w:spacing w:line="560" w:lineRule="exact"/>
        <w:rPr>
          <w:rFonts w:ascii="宋体" w:hAnsi="宋体"/>
          <w:b/>
          <w:color w:val="auto"/>
          <w:sz w:val="24"/>
        </w:rPr>
      </w:pPr>
      <w:r>
        <w:rPr>
          <w:rFonts w:hint="eastAsia" w:ascii="宋体" w:hAnsi="宋体"/>
          <w:b/>
          <w:color w:val="auto"/>
          <w:sz w:val="24"/>
        </w:rPr>
        <w:t>转让方（以下简称甲方）：</w:t>
      </w:r>
      <w:r>
        <w:rPr>
          <w:rFonts w:hint="eastAsia" w:ascii="宋体" w:hAnsi="宋体" w:cs="宋体"/>
          <w:color w:val="auto"/>
          <w:sz w:val="28"/>
          <w:szCs w:val="28"/>
        </w:rPr>
        <w:t>中山市小榄镇工业总公司</w:t>
      </w:r>
    </w:p>
    <w:p>
      <w:pPr>
        <w:autoSpaceDE w:val="0"/>
        <w:autoSpaceDN w:val="0"/>
        <w:snapToGrid w:val="0"/>
        <w:spacing w:line="560" w:lineRule="exact"/>
        <w:rPr>
          <w:rFonts w:ascii="宋体" w:hAnsi="宋体"/>
          <w:color w:val="auto"/>
          <w:sz w:val="24"/>
        </w:rPr>
      </w:pPr>
      <w:r>
        <w:rPr>
          <w:rFonts w:hint="eastAsia" w:ascii="宋体" w:hAnsi="宋体"/>
          <w:color w:val="auto"/>
          <w:sz w:val="24"/>
        </w:rPr>
        <w:t xml:space="preserve">注册地址/住所： </w:t>
      </w:r>
      <w:r>
        <w:rPr>
          <w:rFonts w:hint="eastAsia" w:ascii="宋体" w:hAnsi="宋体"/>
          <w:color w:val="auto"/>
          <w:sz w:val="24"/>
          <w:lang w:eastAsia="zh-CN"/>
        </w:rPr>
        <w:t>中山市小榄镇新华中路</w:t>
      </w:r>
      <w:r>
        <w:rPr>
          <w:rFonts w:hint="eastAsia" w:ascii="宋体" w:hAnsi="宋体"/>
          <w:color w:val="auto"/>
          <w:sz w:val="24"/>
          <w:lang w:val="en-US" w:eastAsia="zh-CN"/>
        </w:rPr>
        <w:t>118号</w:t>
      </w:r>
      <w:r>
        <w:rPr>
          <w:rFonts w:hint="eastAsia" w:ascii="宋体" w:hAnsi="宋体"/>
          <w:color w:val="auto"/>
          <w:sz w:val="24"/>
        </w:rPr>
        <w:t xml:space="preserve">                                            </w:t>
      </w:r>
    </w:p>
    <w:p>
      <w:pPr>
        <w:autoSpaceDE w:val="0"/>
        <w:autoSpaceDN w:val="0"/>
        <w:snapToGrid w:val="0"/>
        <w:spacing w:line="560" w:lineRule="exact"/>
        <w:rPr>
          <w:rFonts w:ascii="宋体" w:hAnsi="宋体"/>
          <w:color w:val="auto"/>
          <w:sz w:val="24"/>
        </w:rPr>
      </w:pPr>
      <w:r>
        <w:rPr>
          <w:rFonts w:hint="eastAsia" w:ascii="宋体" w:hAnsi="宋体"/>
          <w:color w:val="auto"/>
          <w:sz w:val="24"/>
        </w:rPr>
        <w:t>法定代表人：</w:t>
      </w:r>
      <w:r>
        <w:rPr>
          <w:rFonts w:hint="eastAsia" w:ascii="宋体" w:hAnsi="宋体"/>
          <w:color w:val="auto"/>
          <w:sz w:val="24"/>
          <w:lang w:eastAsia="zh-CN"/>
        </w:rPr>
        <w:t>麦锦华</w:t>
      </w:r>
      <w:r>
        <w:rPr>
          <w:rFonts w:hint="eastAsia" w:ascii="宋体" w:hAnsi="宋体"/>
          <w:color w:val="auto"/>
          <w:sz w:val="24"/>
        </w:rPr>
        <w:t xml:space="preserve">      </w:t>
      </w:r>
    </w:p>
    <w:p>
      <w:pPr>
        <w:autoSpaceDE w:val="0"/>
        <w:autoSpaceDN w:val="0"/>
        <w:snapToGrid w:val="0"/>
        <w:spacing w:line="560" w:lineRule="exact"/>
        <w:rPr>
          <w:rFonts w:ascii="宋体" w:hAnsi="宋体"/>
          <w:color w:val="auto"/>
          <w:sz w:val="24"/>
        </w:rPr>
      </w:pPr>
      <w:r>
        <w:rPr>
          <w:rFonts w:hint="eastAsia" w:ascii="宋体" w:hAnsi="宋体"/>
          <w:color w:val="auto"/>
          <w:sz w:val="24"/>
        </w:rPr>
        <w:t>电话：                                     邮编：</w:t>
      </w:r>
    </w:p>
    <w:p>
      <w:pPr>
        <w:autoSpaceDE w:val="0"/>
        <w:autoSpaceDN w:val="0"/>
        <w:snapToGrid w:val="0"/>
        <w:spacing w:line="560" w:lineRule="exact"/>
        <w:rPr>
          <w:rFonts w:ascii="宋体" w:hAnsi="宋体"/>
          <w:color w:val="auto"/>
          <w:sz w:val="24"/>
        </w:rPr>
      </w:pPr>
      <w:r>
        <w:rPr>
          <w:rFonts w:hint="eastAsia" w:ascii="宋体" w:hAnsi="宋体"/>
          <w:color w:val="auto"/>
          <w:sz w:val="24"/>
        </w:rPr>
        <w:t xml:space="preserve">                      </w:t>
      </w:r>
    </w:p>
    <w:p>
      <w:pPr>
        <w:autoSpaceDE w:val="0"/>
        <w:autoSpaceDN w:val="0"/>
        <w:snapToGrid w:val="0"/>
        <w:spacing w:line="560" w:lineRule="exact"/>
        <w:rPr>
          <w:rFonts w:ascii="宋体" w:hAnsi="宋体"/>
          <w:color w:val="auto"/>
          <w:sz w:val="24"/>
        </w:rPr>
      </w:pPr>
      <w:r>
        <w:rPr>
          <w:rFonts w:hint="eastAsia" w:ascii="宋体" w:hAnsi="宋体"/>
          <w:color w:val="auto"/>
          <w:sz w:val="24"/>
        </w:rPr>
        <w:t xml:space="preserve">                  </w:t>
      </w:r>
    </w:p>
    <w:p>
      <w:pPr>
        <w:autoSpaceDE w:val="0"/>
        <w:autoSpaceDN w:val="0"/>
        <w:snapToGrid w:val="0"/>
        <w:spacing w:line="560" w:lineRule="exact"/>
        <w:jc w:val="left"/>
        <w:rPr>
          <w:rFonts w:ascii="宋体" w:hAnsi="宋体"/>
          <w:color w:val="auto"/>
          <w:sz w:val="24"/>
        </w:rPr>
      </w:pPr>
      <w:r>
        <w:rPr>
          <w:rFonts w:hint="eastAsia" w:ascii="宋体" w:hAnsi="宋体"/>
          <w:color w:val="auto"/>
          <w:sz w:val="24"/>
        </w:rPr>
        <w:t xml:space="preserve">                         </w:t>
      </w:r>
    </w:p>
    <w:p>
      <w:pPr>
        <w:autoSpaceDE w:val="0"/>
        <w:autoSpaceDN w:val="0"/>
        <w:snapToGrid w:val="0"/>
        <w:spacing w:line="560" w:lineRule="exact"/>
        <w:rPr>
          <w:rFonts w:ascii="宋体" w:hAnsi="宋体"/>
          <w:color w:val="auto"/>
          <w:sz w:val="24"/>
        </w:rPr>
      </w:pPr>
      <w:r>
        <w:rPr>
          <w:rFonts w:hint="eastAsia" w:ascii="宋体" w:hAnsi="宋体"/>
          <w:color w:val="auto"/>
          <w:sz w:val="24"/>
        </w:rPr>
        <w:t xml:space="preserve">                                  </w:t>
      </w:r>
    </w:p>
    <w:p>
      <w:pPr>
        <w:autoSpaceDE w:val="0"/>
        <w:autoSpaceDN w:val="0"/>
        <w:snapToGrid w:val="0"/>
        <w:spacing w:line="560" w:lineRule="exact"/>
        <w:rPr>
          <w:rFonts w:ascii="宋体" w:hAnsi="宋体"/>
          <w:color w:val="auto"/>
          <w:sz w:val="24"/>
        </w:rPr>
      </w:pPr>
    </w:p>
    <w:p>
      <w:pPr>
        <w:autoSpaceDE w:val="0"/>
        <w:autoSpaceDN w:val="0"/>
        <w:snapToGrid w:val="0"/>
        <w:spacing w:line="560" w:lineRule="exact"/>
        <w:rPr>
          <w:rFonts w:ascii="宋体" w:hAnsi="宋体"/>
          <w:b/>
          <w:color w:val="auto"/>
          <w:sz w:val="24"/>
        </w:rPr>
      </w:pPr>
      <w:r>
        <w:rPr>
          <w:rFonts w:hint="eastAsia" w:ascii="宋体" w:hAnsi="宋体"/>
          <w:b/>
          <w:color w:val="auto"/>
          <w:sz w:val="24"/>
        </w:rPr>
        <w:t>受让方（以下简称乙方）：</w:t>
      </w:r>
    </w:p>
    <w:p>
      <w:pPr>
        <w:autoSpaceDE w:val="0"/>
        <w:autoSpaceDN w:val="0"/>
        <w:snapToGrid w:val="0"/>
        <w:spacing w:line="560" w:lineRule="exact"/>
        <w:rPr>
          <w:rFonts w:ascii="宋体" w:hAnsi="宋体"/>
          <w:color w:val="auto"/>
          <w:sz w:val="24"/>
        </w:rPr>
      </w:pPr>
      <w:r>
        <w:rPr>
          <w:rFonts w:hint="eastAsia" w:ascii="宋体" w:hAnsi="宋体"/>
          <w:color w:val="auto"/>
          <w:sz w:val="24"/>
        </w:rPr>
        <w:t xml:space="preserve">注册地址/住所：                      </w:t>
      </w:r>
    </w:p>
    <w:p>
      <w:pPr>
        <w:autoSpaceDE w:val="0"/>
        <w:autoSpaceDN w:val="0"/>
        <w:snapToGrid w:val="0"/>
        <w:spacing w:line="560" w:lineRule="exact"/>
        <w:rPr>
          <w:rFonts w:ascii="宋体" w:hAnsi="宋体"/>
          <w:color w:val="auto"/>
          <w:sz w:val="24"/>
        </w:rPr>
      </w:pPr>
      <w:r>
        <w:rPr>
          <w:rFonts w:hint="eastAsia" w:ascii="宋体" w:hAnsi="宋体"/>
          <w:color w:val="auto"/>
          <w:sz w:val="24"/>
        </w:rPr>
        <w:t xml:space="preserve">法定代表人：                                        </w:t>
      </w:r>
    </w:p>
    <w:p>
      <w:pPr>
        <w:autoSpaceDE w:val="0"/>
        <w:autoSpaceDN w:val="0"/>
        <w:snapToGrid w:val="0"/>
        <w:spacing w:line="560" w:lineRule="exact"/>
        <w:rPr>
          <w:rFonts w:ascii="宋体" w:hAnsi="宋体"/>
          <w:color w:val="auto"/>
          <w:sz w:val="24"/>
        </w:rPr>
      </w:pPr>
      <w:r>
        <w:rPr>
          <w:rFonts w:hint="eastAsia" w:ascii="宋体" w:hAnsi="宋体"/>
          <w:color w:val="auto"/>
          <w:sz w:val="24"/>
        </w:rPr>
        <w:t>电话：                                     邮编：</w:t>
      </w:r>
    </w:p>
    <w:p>
      <w:pPr>
        <w:autoSpaceDE w:val="0"/>
        <w:autoSpaceDN w:val="0"/>
        <w:snapToGrid w:val="0"/>
        <w:spacing w:line="560" w:lineRule="exact"/>
        <w:rPr>
          <w:rFonts w:ascii="宋体" w:hAnsi="宋体"/>
          <w:color w:val="auto"/>
          <w:sz w:val="24"/>
        </w:rPr>
      </w:pPr>
    </w:p>
    <w:p>
      <w:pPr>
        <w:autoSpaceDE w:val="0"/>
        <w:autoSpaceDN w:val="0"/>
        <w:snapToGrid w:val="0"/>
        <w:spacing w:line="560" w:lineRule="exact"/>
        <w:rPr>
          <w:rFonts w:ascii="宋体" w:hAnsi="宋体"/>
          <w:color w:val="auto"/>
          <w:sz w:val="24"/>
        </w:rPr>
      </w:pPr>
    </w:p>
    <w:p>
      <w:pPr>
        <w:autoSpaceDE w:val="0"/>
        <w:autoSpaceDN w:val="0"/>
        <w:snapToGrid w:val="0"/>
        <w:spacing w:line="560" w:lineRule="exact"/>
        <w:rPr>
          <w:rFonts w:ascii="宋体" w:hAnsi="宋体"/>
          <w:color w:val="auto"/>
          <w:sz w:val="24"/>
        </w:rPr>
      </w:pPr>
      <w:r>
        <w:rPr>
          <w:rFonts w:hint="eastAsia" w:ascii="宋体" w:hAnsi="宋体"/>
          <w:color w:val="auto"/>
          <w:sz w:val="24"/>
        </w:rPr>
        <w:t xml:space="preserve">                 </w:t>
      </w:r>
    </w:p>
    <w:p>
      <w:pPr>
        <w:autoSpaceDE w:val="0"/>
        <w:autoSpaceDN w:val="0"/>
        <w:snapToGrid w:val="0"/>
        <w:spacing w:line="560" w:lineRule="exact"/>
        <w:rPr>
          <w:rFonts w:ascii="宋体" w:hAnsi="宋体"/>
          <w:color w:val="auto"/>
          <w:sz w:val="24"/>
        </w:rPr>
      </w:pPr>
      <w:r>
        <w:rPr>
          <w:rFonts w:hint="eastAsia" w:ascii="宋体" w:hAnsi="宋体"/>
          <w:b/>
          <w:color w:val="auto"/>
          <w:sz w:val="24"/>
        </w:rPr>
        <w:t>（</w:t>
      </w:r>
      <w:r>
        <w:rPr>
          <w:rFonts w:hint="eastAsia" w:ascii="宋体" w:hAnsi="宋体"/>
          <w:color w:val="auto"/>
          <w:sz w:val="24"/>
        </w:rPr>
        <w:t>当事人如系自然人的，应载明其姓名、身份证号码（护照号码）、居住地址等</w:t>
      </w:r>
      <w:r>
        <w:rPr>
          <w:rFonts w:hint="eastAsia" w:ascii="宋体" w:hAnsi="宋体"/>
          <w:b/>
          <w:color w:val="auto"/>
          <w:sz w:val="24"/>
        </w:rPr>
        <w:t>）</w:t>
      </w:r>
    </w:p>
    <w:p>
      <w:pPr>
        <w:snapToGrid w:val="0"/>
        <w:spacing w:line="560" w:lineRule="exact"/>
        <w:ind w:firstLine="567"/>
        <w:rPr>
          <w:rFonts w:ascii="宋体" w:hAnsi="宋体"/>
          <w:color w:val="auto"/>
          <w:sz w:val="24"/>
        </w:rPr>
      </w:pPr>
    </w:p>
    <w:p>
      <w:pPr>
        <w:snapToGrid w:val="0"/>
        <w:spacing w:line="560" w:lineRule="exact"/>
        <w:ind w:firstLine="567"/>
        <w:rPr>
          <w:rFonts w:ascii="宋体" w:hAnsi="宋体"/>
          <w:color w:val="auto"/>
          <w:sz w:val="24"/>
        </w:rPr>
      </w:pPr>
    </w:p>
    <w:p>
      <w:pPr>
        <w:snapToGrid w:val="0"/>
        <w:spacing w:line="560" w:lineRule="exact"/>
        <w:ind w:firstLine="567"/>
        <w:rPr>
          <w:rFonts w:ascii="宋体" w:hAnsi="宋体"/>
          <w:color w:val="auto"/>
          <w:sz w:val="24"/>
        </w:rPr>
      </w:pPr>
      <w:r>
        <w:rPr>
          <w:rFonts w:hint="eastAsia" w:ascii="宋体" w:hAnsi="宋体"/>
          <w:color w:val="auto"/>
          <w:sz w:val="24"/>
        </w:rPr>
        <w:br w:type="page"/>
      </w:r>
      <w:r>
        <w:rPr>
          <w:rFonts w:hint="eastAsia" w:ascii="宋体" w:hAnsi="宋体"/>
          <w:color w:val="auto"/>
          <w:sz w:val="24"/>
        </w:rPr>
        <w:t>根据《中华人民共和国民法典》和《企业国有资产交易监督管理办法》等相关法律、法规、规章的规定，甲、乙双方遵循自愿、公平、诚实信用的原则订立本合同，以资共同遵守。</w:t>
      </w:r>
    </w:p>
    <w:p>
      <w:pPr>
        <w:snapToGrid w:val="0"/>
        <w:spacing w:line="560" w:lineRule="exact"/>
        <w:ind w:firstLine="567"/>
        <w:rPr>
          <w:rFonts w:ascii="宋体" w:hAnsi="宋体"/>
          <w:color w:val="auto"/>
          <w:sz w:val="24"/>
        </w:rPr>
      </w:pPr>
      <w:r>
        <w:rPr>
          <w:rFonts w:hint="eastAsia" w:ascii="宋体" w:hAnsi="宋体"/>
          <w:b/>
          <w:color w:val="auto"/>
          <w:sz w:val="24"/>
        </w:rPr>
        <w:t>鉴于：</w:t>
      </w:r>
    </w:p>
    <w:p>
      <w:pPr>
        <w:snapToGrid w:val="0"/>
        <w:spacing w:line="560" w:lineRule="exact"/>
        <w:ind w:firstLine="567"/>
        <w:rPr>
          <w:rFonts w:ascii="宋体" w:hAnsi="宋体"/>
          <w:color w:val="auto"/>
          <w:sz w:val="24"/>
        </w:rPr>
      </w:pPr>
      <w:r>
        <w:rPr>
          <w:rFonts w:hint="eastAsia" w:ascii="宋体" w:hAnsi="宋体"/>
          <w:color w:val="auto"/>
          <w:sz w:val="24"/>
        </w:rPr>
        <w:t>1．</w:t>
      </w:r>
      <w:r>
        <w:rPr>
          <w:rFonts w:hint="eastAsia" w:ascii="宋体" w:hAnsi="宋体"/>
          <w:color w:val="auto"/>
          <w:sz w:val="24"/>
          <w:u w:val="single"/>
          <w:lang w:eastAsia="zh-CN"/>
        </w:rPr>
        <w:t>中山市睿实科技有限公司</w:t>
      </w:r>
      <w:r>
        <w:rPr>
          <w:rFonts w:hint="eastAsia" w:ascii="宋体" w:hAnsi="宋体"/>
          <w:color w:val="auto"/>
          <w:sz w:val="24"/>
        </w:rPr>
        <w:t>（以下简称“标的企业”）成立于</w:t>
      </w:r>
      <w:r>
        <w:rPr>
          <w:rFonts w:hint="eastAsia" w:ascii="宋体" w:hAnsi="宋体"/>
          <w:color w:val="auto"/>
          <w:sz w:val="24"/>
          <w:u w:val="single"/>
          <w:lang w:val="en-US" w:eastAsia="zh-CN"/>
        </w:rPr>
        <w:t>2021</w:t>
      </w:r>
      <w:r>
        <w:rPr>
          <w:rFonts w:hint="eastAsia" w:ascii="宋体" w:hAnsi="宋体"/>
          <w:color w:val="auto"/>
          <w:sz w:val="24"/>
        </w:rPr>
        <w:t>年</w:t>
      </w:r>
      <w:r>
        <w:rPr>
          <w:rFonts w:hint="eastAsia" w:ascii="宋体" w:hAnsi="宋体"/>
          <w:color w:val="auto"/>
          <w:sz w:val="24"/>
          <w:lang w:val="en-US" w:eastAsia="zh-CN"/>
        </w:rPr>
        <w:t>10月19日</w:t>
      </w:r>
      <w:r>
        <w:rPr>
          <w:rFonts w:hint="eastAsia" w:ascii="宋体" w:hAnsi="宋体"/>
          <w:color w:val="auto"/>
          <w:sz w:val="24"/>
        </w:rPr>
        <w:t>，注册资金为人民币</w:t>
      </w:r>
      <w:r>
        <w:rPr>
          <w:rFonts w:hint="eastAsia" w:ascii="宋体" w:hAnsi="宋体"/>
          <w:color w:val="auto"/>
          <w:sz w:val="24"/>
          <w:u w:val="single"/>
          <w:lang w:val="en-US" w:eastAsia="zh-CN"/>
        </w:rPr>
        <w:t>7580</w:t>
      </w:r>
      <w:r>
        <w:rPr>
          <w:rFonts w:hint="eastAsia" w:ascii="宋体" w:hAnsi="宋体"/>
          <w:color w:val="auto"/>
          <w:sz w:val="24"/>
        </w:rPr>
        <w:t>万元，</w:t>
      </w:r>
      <w:r>
        <w:rPr>
          <w:rFonts w:hint="eastAsia" w:ascii="宋体" w:hAnsi="宋体"/>
          <w:color w:val="auto"/>
          <w:sz w:val="24"/>
          <w:u w:val="single"/>
          <w:lang w:eastAsia="zh-CN"/>
        </w:rPr>
        <w:t>中山市小榄镇工业总公司</w:t>
      </w:r>
      <w:r>
        <w:rPr>
          <w:rFonts w:hint="eastAsia" w:ascii="宋体" w:hAnsi="宋体"/>
          <w:color w:val="auto"/>
          <w:sz w:val="24"/>
        </w:rPr>
        <w:t>出资</w:t>
      </w:r>
      <w:r>
        <w:rPr>
          <w:rFonts w:hint="eastAsia" w:ascii="宋体" w:hAnsi="宋体"/>
          <w:color w:val="auto"/>
          <w:sz w:val="24"/>
          <w:u w:val="single"/>
        </w:rPr>
        <w:t xml:space="preserve">              </w:t>
      </w:r>
      <w:r>
        <w:rPr>
          <w:rFonts w:hint="eastAsia" w:ascii="宋体" w:hAnsi="宋体"/>
          <w:color w:val="auto"/>
          <w:sz w:val="24"/>
          <w:u w:val="single"/>
          <w:lang w:val="en-US" w:eastAsia="zh-CN"/>
        </w:rPr>
        <w:t>7580</w:t>
      </w:r>
      <w:r>
        <w:rPr>
          <w:rFonts w:hint="eastAsia" w:ascii="宋体" w:hAnsi="宋体"/>
          <w:color w:val="auto"/>
          <w:sz w:val="24"/>
        </w:rPr>
        <w:t>万元。</w:t>
      </w:r>
    </w:p>
    <w:p>
      <w:pPr>
        <w:snapToGrid w:val="0"/>
        <w:spacing w:line="560" w:lineRule="exact"/>
        <w:ind w:firstLine="567"/>
        <w:rPr>
          <w:rFonts w:ascii="宋体" w:hAnsi="宋体"/>
          <w:color w:val="auto"/>
          <w:sz w:val="24"/>
        </w:rPr>
      </w:pPr>
      <w:r>
        <w:rPr>
          <w:rFonts w:hint="eastAsia" w:ascii="宋体" w:hAnsi="宋体"/>
          <w:color w:val="auto"/>
          <w:sz w:val="24"/>
        </w:rPr>
        <w:t>2．经评估，截止</w:t>
      </w:r>
      <w:r>
        <w:rPr>
          <w:rFonts w:hint="eastAsia" w:ascii="宋体" w:hAnsi="宋体"/>
          <w:color w:val="auto"/>
          <w:sz w:val="24"/>
          <w:u w:val="single"/>
          <w:lang w:val="en-US" w:eastAsia="zh-CN"/>
        </w:rPr>
        <w:t>2022</w:t>
      </w:r>
      <w:r>
        <w:rPr>
          <w:rFonts w:hint="eastAsia" w:ascii="宋体" w:hAnsi="宋体"/>
          <w:color w:val="auto"/>
          <w:sz w:val="24"/>
        </w:rPr>
        <w:t>年</w:t>
      </w:r>
      <w:r>
        <w:rPr>
          <w:rFonts w:hint="eastAsia" w:ascii="宋体" w:hAnsi="宋体"/>
          <w:color w:val="auto"/>
          <w:sz w:val="24"/>
          <w:u w:val="single"/>
          <w:lang w:val="en-US" w:eastAsia="zh-CN"/>
        </w:rPr>
        <w:t>4</w:t>
      </w:r>
      <w:r>
        <w:rPr>
          <w:rFonts w:hint="eastAsia" w:ascii="宋体" w:hAnsi="宋体"/>
          <w:color w:val="auto"/>
          <w:sz w:val="24"/>
        </w:rPr>
        <w:t>月</w:t>
      </w:r>
      <w:r>
        <w:rPr>
          <w:rFonts w:hint="eastAsia" w:ascii="宋体" w:hAnsi="宋体"/>
          <w:color w:val="auto"/>
          <w:sz w:val="24"/>
          <w:u w:val="single"/>
          <w:lang w:val="en-US" w:eastAsia="zh-CN"/>
        </w:rPr>
        <w:t>15</w:t>
      </w:r>
      <w:r>
        <w:rPr>
          <w:rFonts w:hint="eastAsia" w:ascii="宋体" w:hAnsi="宋体"/>
          <w:color w:val="auto"/>
          <w:sz w:val="24"/>
        </w:rPr>
        <w:t>日，</w:t>
      </w:r>
      <w:r>
        <w:rPr>
          <w:rFonts w:hint="eastAsia" w:ascii="宋体" w:hAnsi="宋体"/>
          <w:color w:val="auto"/>
          <w:sz w:val="24"/>
          <w:u w:val="single"/>
          <w:lang w:eastAsia="zh-CN"/>
        </w:rPr>
        <w:t>中山市睿实科技有限公司</w:t>
      </w:r>
      <w:r>
        <w:rPr>
          <w:rFonts w:hint="eastAsia" w:ascii="宋体" w:hAnsi="宋体"/>
          <w:color w:val="auto"/>
          <w:sz w:val="24"/>
          <w:u w:val="single"/>
          <w:lang w:val="en-US" w:eastAsia="zh-CN"/>
        </w:rPr>
        <w:t>100%股权</w:t>
      </w:r>
      <w:r>
        <w:rPr>
          <w:rFonts w:hint="eastAsia" w:ascii="宋体" w:hAnsi="宋体"/>
          <w:color w:val="auto"/>
          <w:sz w:val="24"/>
        </w:rPr>
        <w:t>总资产合计为人民币</w:t>
      </w:r>
      <w:r>
        <w:rPr>
          <w:rFonts w:hint="eastAsia" w:ascii="宋体" w:hAnsi="宋体"/>
          <w:color w:val="auto"/>
          <w:sz w:val="24"/>
          <w:u w:val="single"/>
          <w:lang w:val="en-US" w:eastAsia="zh-CN"/>
        </w:rPr>
        <w:t>77634637.56</w:t>
      </w:r>
      <w:r>
        <w:rPr>
          <w:rFonts w:hint="eastAsia" w:ascii="宋体" w:hAnsi="宋体"/>
          <w:color w:val="auto"/>
          <w:sz w:val="24"/>
          <w:u w:val="single"/>
        </w:rPr>
        <w:t>元</w:t>
      </w:r>
      <w:r>
        <w:rPr>
          <w:rFonts w:hint="eastAsia" w:ascii="宋体" w:hAnsi="宋体"/>
          <w:color w:val="auto"/>
          <w:sz w:val="24"/>
        </w:rPr>
        <w:t>，负债合计为人民币</w:t>
      </w:r>
      <w:r>
        <w:rPr>
          <w:rFonts w:hint="eastAsia" w:ascii="宋体" w:hAnsi="宋体"/>
          <w:color w:val="auto"/>
          <w:sz w:val="24"/>
          <w:u w:val="single"/>
          <w:lang w:val="en-US" w:eastAsia="zh-CN"/>
        </w:rPr>
        <w:t>1855598.55</w:t>
      </w:r>
      <w:r>
        <w:rPr>
          <w:rFonts w:hint="eastAsia" w:ascii="宋体" w:hAnsi="宋体"/>
          <w:color w:val="auto"/>
          <w:sz w:val="24"/>
          <w:u w:val="single"/>
        </w:rPr>
        <w:t>元</w:t>
      </w:r>
      <w:r>
        <w:rPr>
          <w:rFonts w:hint="eastAsia" w:ascii="宋体" w:hAnsi="宋体"/>
          <w:color w:val="auto"/>
          <w:sz w:val="24"/>
        </w:rPr>
        <w:t>，净资产为人民币</w:t>
      </w:r>
      <w:r>
        <w:rPr>
          <w:rFonts w:hint="eastAsia" w:ascii="宋体" w:hAnsi="宋体"/>
          <w:color w:val="auto"/>
          <w:sz w:val="24"/>
          <w:u w:val="single"/>
          <w:lang w:val="en-US" w:eastAsia="zh-CN"/>
        </w:rPr>
        <w:t>75779039.01</w:t>
      </w:r>
      <w:r>
        <w:rPr>
          <w:rFonts w:hint="eastAsia" w:ascii="宋体" w:hAnsi="宋体"/>
          <w:color w:val="auto"/>
          <w:sz w:val="24"/>
          <w:u w:val="single"/>
        </w:rPr>
        <w:t>元</w:t>
      </w:r>
      <w:r>
        <w:rPr>
          <w:rFonts w:hint="eastAsia" w:ascii="宋体" w:hAnsi="宋体"/>
          <w:color w:val="auto"/>
          <w:sz w:val="24"/>
        </w:rPr>
        <w:t>。</w:t>
      </w:r>
    </w:p>
    <w:p>
      <w:pPr>
        <w:snapToGrid w:val="0"/>
        <w:spacing w:line="560" w:lineRule="exact"/>
        <w:ind w:firstLine="567"/>
        <w:rPr>
          <w:rFonts w:ascii="宋体" w:hAnsi="宋体"/>
          <w:color w:val="auto"/>
          <w:sz w:val="24"/>
        </w:rPr>
      </w:pPr>
      <w:r>
        <w:rPr>
          <w:rFonts w:hint="eastAsia" w:ascii="宋体" w:hAnsi="宋体"/>
          <w:color w:val="auto"/>
          <w:sz w:val="24"/>
        </w:rPr>
        <w:t>3．本次</w:t>
      </w:r>
      <w:r>
        <w:rPr>
          <w:rFonts w:hint="eastAsia" w:ascii="宋体" w:hAnsi="宋体"/>
          <w:color w:val="auto"/>
          <w:sz w:val="24"/>
          <w:u w:val="single"/>
          <w:lang w:eastAsia="zh-CN"/>
        </w:rPr>
        <w:t>中山市睿实科技有限公司</w:t>
      </w:r>
      <w:r>
        <w:rPr>
          <w:rFonts w:hint="eastAsia" w:ascii="宋体" w:hAnsi="宋体"/>
          <w:color w:val="auto"/>
          <w:sz w:val="24"/>
          <w:u w:val="single"/>
          <w:lang w:val="en-US" w:eastAsia="zh-CN"/>
        </w:rPr>
        <w:t>100%股权</w:t>
      </w:r>
      <w:r>
        <w:rPr>
          <w:rFonts w:hint="eastAsia" w:ascii="宋体" w:hAnsi="宋体"/>
          <w:color w:val="auto"/>
          <w:sz w:val="24"/>
        </w:rPr>
        <w:t>转让，各方当事人已被授权。</w:t>
      </w:r>
    </w:p>
    <w:p>
      <w:pPr>
        <w:snapToGrid w:val="0"/>
        <w:spacing w:line="560" w:lineRule="exact"/>
        <w:ind w:firstLine="482" w:firstLineChars="200"/>
        <w:rPr>
          <w:rFonts w:ascii="宋体" w:hAnsi="宋体"/>
          <w:b/>
          <w:color w:val="auto"/>
          <w:sz w:val="24"/>
          <w:szCs w:val="22"/>
        </w:rPr>
      </w:pPr>
      <w:bookmarkStart w:id="16" w:name="_Toc4970"/>
      <w:bookmarkStart w:id="17" w:name="_Toc25492"/>
      <w:bookmarkStart w:id="18" w:name="_Toc32256"/>
      <w:bookmarkStart w:id="19" w:name="_Toc23660"/>
      <w:bookmarkStart w:id="20" w:name="_Toc29904"/>
      <w:bookmarkStart w:id="21" w:name="_Toc23934"/>
      <w:bookmarkStart w:id="22" w:name="_Toc24423"/>
      <w:bookmarkStart w:id="23" w:name="_Toc24044"/>
      <w:bookmarkStart w:id="24" w:name="_Toc17520"/>
      <w:bookmarkStart w:id="25" w:name="_Toc32179"/>
      <w:bookmarkStart w:id="26" w:name="_Toc1020"/>
      <w:bookmarkStart w:id="27" w:name="_Toc26668"/>
      <w:r>
        <w:rPr>
          <w:rFonts w:hint="eastAsia" w:ascii="宋体" w:hAnsi="宋体"/>
          <w:b/>
          <w:color w:val="auto"/>
          <w:sz w:val="24"/>
          <w:szCs w:val="22"/>
        </w:rPr>
        <w:t>第一条  产权转让的标的</w:t>
      </w:r>
      <w:bookmarkEnd w:id="16"/>
      <w:bookmarkEnd w:id="17"/>
      <w:bookmarkEnd w:id="18"/>
      <w:bookmarkEnd w:id="19"/>
      <w:bookmarkEnd w:id="20"/>
      <w:bookmarkEnd w:id="21"/>
      <w:bookmarkEnd w:id="22"/>
      <w:r>
        <w:rPr>
          <w:rFonts w:hint="eastAsia" w:ascii="宋体" w:hAnsi="宋体"/>
          <w:b/>
          <w:color w:val="auto"/>
          <w:sz w:val="24"/>
          <w:szCs w:val="22"/>
        </w:rPr>
        <w:t xml:space="preserve"> </w:t>
      </w:r>
      <w:bookmarkEnd w:id="23"/>
      <w:bookmarkEnd w:id="24"/>
      <w:bookmarkEnd w:id="25"/>
      <w:bookmarkEnd w:id="26"/>
      <w:bookmarkEnd w:id="27"/>
    </w:p>
    <w:p>
      <w:pPr>
        <w:snapToGrid w:val="0"/>
        <w:spacing w:line="560" w:lineRule="exact"/>
        <w:ind w:firstLine="567"/>
        <w:rPr>
          <w:rFonts w:ascii="宋体" w:hAnsi="宋体"/>
          <w:color w:val="auto"/>
          <w:sz w:val="24"/>
        </w:rPr>
      </w:pPr>
      <w:r>
        <w:rPr>
          <w:rFonts w:hint="eastAsia" w:ascii="宋体" w:hAnsi="宋体"/>
          <w:color w:val="auto"/>
          <w:sz w:val="24"/>
        </w:rPr>
        <w:t>甲方拥有（持有）的</w:t>
      </w:r>
      <w:r>
        <w:rPr>
          <w:rFonts w:hint="eastAsia" w:ascii="宋体" w:hAnsi="宋体"/>
          <w:color w:val="auto"/>
          <w:sz w:val="24"/>
          <w:u w:val="single"/>
          <w:lang w:eastAsia="zh-CN"/>
        </w:rPr>
        <w:t>中山市睿实科技有限公司</w:t>
      </w:r>
      <w:r>
        <w:rPr>
          <w:rFonts w:hint="eastAsia" w:ascii="宋体" w:hAnsi="宋体"/>
          <w:color w:val="auto"/>
          <w:sz w:val="24"/>
          <w:u w:val="single"/>
          <w:lang w:val="en-US" w:eastAsia="zh-CN"/>
        </w:rPr>
        <w:t>100%股权</w:t>
      </w:r>
      <w:r>
        <w:rPr>
          <w:rFonts w:hint="eastAsia" w:ascii="宋体" w:hAnsi="宋体"/>
          <w:color w:val="auto"/>
          <w:sz w:val="24"/>
          <w:u w:val="single"/>
        </w:rPr>
        <w:t xml:space="preserve"> </w:t>
      </w:r>
      <w:r>
        <w:rPr>
          <w:rFonts w:hint="eastAsia" w:ascii="宋体" w:hAnsi="宋体"/>
          <w:color w:val="auto"/>
          <w:sz w:val="24"/>
        </w:rPr>
        <w:t>。</w:t>
      </w:r>
    </w:p>
    <w:p>
      <w:pPr>
        <w:snapToGrid w:val="0"/>
        <w:spacing w:line="560" w:lineRule="exact"/>
        <w:ind w:firstLine="482" w:firstLineChars="200"/>
        <w:rPr>
          <w:rFonts w:ascii="宋体" w:hAnsi="宋体"/>
          <w:b/>
          <w:color w:val="auto"/>
          <w:sz w:val="24"/>
          <w:szCs w:val="22"/>
        </w:rPr>
      </w:pPr>
      <w:bookmarkStart w:id="28" w:name="_Toc27820"/>
      <w:bookmarkStart w:id="29" w:name="_Toc1146"/>
      <w:bookmarkStart w:id="30" w:name="_Toc30544"/>
      <w:bookmarkStart w:id="31" w:name="_Toc9717"/>
      <w:bookmarkStart w:id="32" w:name="_Toc23763"/>
      <w:bookmarkStart w:id="33" w:name="_Toc15525"/>
      <w:bookmarkStart w:id="34" w:name="_Toc21506"/>
      <w:bookmarkStart w:id="35" w:name="_Toc13338"/>
      <w:bookmarkStart w:id="36" w:name="_Toc7324"/>
      <w:bookmarkStart w:id="37" w:name="_Toc14428"/>
      <w:bookmarkStart w:id="38" w:name="_Toc14294"/>
      <w:bookmarkStart w:id="39" w:name="_Toc11098"/>
      <w:r>
        <w:rPr>
          <w:rFonts w:hint="eastAsia" w:ascii="宋体" w:hAnsi="宋体"/>
          <w:b/>
          <w:color w:val="auto"/>
          <w:sz w:val="24"/>
          <w:szCs w:val="22"/>
        </w:rPr>
        <w:t>第二条  产权转让的价格</w:t>
      </w:r>
      <w:bookmarkEnd w:id="28"/>
      <w:bookmarkEnd w:id="29"/>
      <w:bookmarkEnd w:id="30"/>
      <w:bookmarkEnd w:id="31"/>
      <w:bookmarkEnd w:id="32"/>
      <w:bookmarkEnd w:id="33"/>
      <w:bookmarkEnd w:id="34"/>
      <w:bookmarkEnd w:id="35"/>
      <w:bookmarkEnd w:id="36"/>
      <w:bookmarkEnd w:id="37"/>
      <w:bookmarkEnd w:id="38"/>
      <w:bookmarkEnd w:id="39"/>
    </w:p>
    <w:p>
      <w:pPr>
        <w:snapToGrid w:val="0"/>
        <w:spacing w:line="560" w:lineRule="exact"/>
        <w:ind w:firstLine="567"/>
        <w:rPr>
          <w:rFonts w:ascii="宋体" w:hAnsi="宋体"/>
          <w:color w:val="auto"/>
          <w:sz w:val="24"/>
        </w:rPr>
      </w:pPr>
      <w:r>
        <w:rPr>
          <w:rFonts w:hint="eastAsia" w:ascii="宋体" w:hAnsi="宋体"/>
          <w:color w:val="auto"/>
          <w:sz w:val="24"/>
        </w:rPr>
        <w:t>甲方将上述产权以¥</w:t>
      </w:r>
      <w:r>
        <w:rPr>
          <w:rFonts w:hint="eastAsia" w:ascii="宋体" w:hAnsi="宋体"/>
          <w:color w:val="auto"/>
          <w:sz w:val="24"/>
          <w:u w:val="single"/>
          <w:lang w:val="en-US" w:eastAsia="zh-CN"/>
        </w:rPr>
        <w:t xml:space="preserve">     </w:t>
      </w:r>
      <w:r>
        <w:rPr>
          <w:rFonts w:hint="eastAsia" w:ascii="宋体" w:hAnsi="宋体"/>
          <w:color w:val="auto"/>
          <w:sz w:val="24"/>
        </w:rPr>
        <w:t>万元（大写</w:t>
      </w:r>
      <w:r>
        <w:rPr>
          <w:rFonts w:ascii="宋体" w:hAnsi="宋体"/>
          <w:color w:val="auto"/>
          <w:sz w:val="24"/>
        </w:rPr>
        <w:t>：</w:t>
      </w:r>
      <w:r>
        <w:rPr>
          <w:rFonts w:hint="eastAsia" w:ascii="宋体" w:hAnsi="宋体"/>
          <w:color w:val="auto"/>
          <w:sz w:val="24"/>
        </w:rPr>
        <w:t>人民币</w:t>
      </w:r>
      <w:r>
        <w:rPr>
          <w:rFonts w:hint="eastAsia" w:ascii="宋体" w:hAnsi="宋体"/>
          <w:color w:val="auto"/>
          <w:sz w:val="24"/>
          <w:u w:val="single"/>
        </w:rPr>
        <w:t xml:space="preserve">        </w:t>
      </w:r>
      <w:r>
        <w:rPr>
          <w:rFonts w:hint="eastAsia" w:ascii="宋体" w:hAnsi="宋体"/>
          <w:color w:val="auto"/>
          <w:sz w:val="24"/>
        </w:rPr>
        <w:t>元整）转让给乙方。</w:t>
      </w:r>
    </w:p>
    <w:p>
      <w:pPr>
        <w:snapToGrid w:val="0"/>
        <w:spacing w:line="560" w:lineRule="exact"/>
        <w:ind w:firstLine="567"/>
        <w:rPr>
          <w:rFonts w:ascii="宋体" w:hAnsi="宋体"/>
          <w:color w:val="auto"/>
          <w:sz w:val="24"/>
        </w:rPr>
      </w:pPr>
      <w:r>
        <w:rPr>
          <w:rFonts w:hint="eastAsia" w:ascii="宋体" w:hAnsi="宋体"/>
          <w:color w:val="auto"/>
          <w:sz w:val="24"/>
        </w:rPr>
        <w:t>（转让方或受让方是多方的均应载明）</w:t>
      </w:r>
    </w:p>
    <w:p>
      <w:pPr>
        <w:snapToGrid w:val="0"/>
        <w:spacing w:line="560" w:lineRule="exact"/>
        <w:ind w:firstLine="482" w:firstLineChars="200"/>
        <w:rPr>
          <w:rFonts w:ascii="宋体" w:hAnsi="宋体"/>
          <w:b/>
          <w:color w:val="auto"/>
          <w:sz w:val="24"/>
          <w:szCs w:val="22"/>
        </w:rPr>
      </w:pPr>
      <w:bookmarkStart w:id="40" w:name="_Toc5604"/>
      <w:bookmarkStart w:id="41" w:name="_Toc23614"/>
      <w:bookmarkStart w:id="42" w:name="_Toc14685"/>
      <w:bookmarkStart w:id="43" w:name="_Toc12994"/>
      <w:bookmarkStart w:id="44" w:name="_Toc8734"/>
      <w:bookmarkStart w:id="45" w:name="_Toc23480"/>
      <w:bookmarkStart w:id="46" w:name="_Toc5913"/>
      <w:bookmarkStart w:id="47" w:name="_Toc25585"/>
      <w:bookmarkStart w:id="48" w:name="_Toc591"/>
      <w:bookmarkStart w:id="49" w:name="_Toc5930"/>
      <w:bookmarkStart w:id="50" w:name="_Toc16740"/>
      <w:bookmarkStart w:id="51" w:name="_Toc15280"/>
      <w:r>
        <w:rPr>
          <w:rFonts w:hint="eastAsia" w:ascii="宋体" w:hAnsi="宋体"/>
          <w:b/>
          <w:color w:val="auto"/>
          <w:sz w:val="24"/>
          <w:szCs w:val="22"/>
        </w:rPr>
        <w:t>第三条  产权转让的方式</w:t>
      </w:r>
      <w:bookmarkEnd w:id="40"/>
      <w:bookmarkEnd w:id="41"/>
      <w:bookmarkEnd w:id="42"/>
      <w:bookmarkEnd w:id="43"/>
      <w:bookmarkEnd w:id="44"/>
      <w:bookmarkEnd w:id="45"/>
      <w:bookmarkEnd w:id="46"/>
      <w:bookmarkEnd w:id="47"/>
      <w:bookmarkEnd w:id="48"/>
      <w:bookmarkEnd w:id="49"/>
      <w:bookmarkEnd w:id="50"/>
      <w:bookmarkEnd w:id="51"/>
    </w:p>
    <w:p>
      <w:pPr>
        <w:snapToGrid w:val="0"/>
        <w:spacing w:line="560" w:lineRule="exact"/>
        <w:ind w:firstLine="567"/>
        <w:rPr>
          <w:rFonts w:ascii="宋体" w:hAnsi="宋体"/>
          <w:color w:val="auto"/>
          <w:sz w:val="24"/>
        </w:rPr>
      </w:pPr>
      <w:r>
        <w:rPr>
          <w:rFonts w:hint="eastAsia" w:ascii="宋体" w:hAnsi="宋体"/>
          <w:color w:val="auto"/>
          <w:sz w:val="24"/>
        </w:rPr>
        <w:t>上述产权通过珠海产权交易中心发布转让信息征集受让方，采用</w:t>
      </w:r>
      <w:r>
        <w:rPr>
          <w:rFonts w:hint="eastAsia" w:ascii="宋体" w:hAnsi="宋体"/>
          <w:color w:val="auto"/>
          <w:sz w:val="24"/>
          <w:u w:val="single"/>
        </w:rPr>
        <w:t>（协议转让、网络竞价、拍卖、招投标等）</w:t>
      </w:r>
      <w:r>
        <w:rPr>
          <w:rFonts w:hint="eastAsia" w:ascii="宋体" w:hAnsi="宋体"/>
          <w:color w:val="auto"/>
          <w:sz w:val="24"/>
        </w:rPr>
        <w:t>的方式，确定受让方和转让价格，签订产权交易合同，实施产权交易。</w:t>
      </w:r>
    </w:p>
    <w:p>
      <w:pPr>
        <w:snapToGrid w:val="0"/>
        <w:spacing w:line="560" w:lineRule="exact"/>
        <w:ind w:firstLine="567"/>
        <w:rPr>
          <w:rFonts w:ascii="宋体" w:hAnsi="宋体"/>
          <w:b/>
          <w:bCs/>
          <w:color w:val="auto"/>
          <w:sz w:val="24"/>
          <w:szCs w:val="22"/>
        </w:rPr>
      </w:pPr>
      <w:bookmarkStart w:id="52" w:name="_Toc19659"/>
      <w:bookmarkStart w:id="53" w:name="_Toc15034"/>
      <w:bookmarkStart w:id="54" w:name="_Toc27688"/>
      <w:bookmarkStart w:id="55" w:name="_Toc7942"/>
      <w:bookmarkStart w:id="56" w:name="_Toc32051"/>
      <w:bookmarkStart w:id="57" w:name="_Toc214"/>
      <w:bookmarkStart w:id="58" w:name="_Toc3292"/>
      <w:bookmarkStart w:id="59" w:name="_Toc2202"/>
      <w:bookmarkStart w:id="60" w:name="_Toc15485"/>
      <w:bookmarkStart w:id="61" w:name="_Toc8699"/>
      <w:bookmarkStart w:id="62" w:name="_Toc32052"/>
      <w:bookmarkStart w:id="63" w:name="_Toc21645"/>
      <w:r>
        <w:rPr>
          <w:rFonts w:hint="eastAsia" w:ascii="宋体" w:hAnsi="宋体"/>
          <w:b/>
          <w:bCs/>
          <w:color w:val="auto"/>
          <w:sz w:val="24"/>
          <w:szCs w:val="22"/>
        </w:rPr>
        <w:t>第四条  产权转让涉及的企业职工安置</w:t>
      </w:r>
      <w:bookmarkEnd w:id="52"/>
      <w:bookmarkEnd w:id="53"/>
      <w:bookmarkEnd w:id="54"/>
      <w:bookmarkEnd w:id="55"/>
      <w:bookmarkEnd w:id="56"/>
      <w:bookmarkEnd w:id="57"/>
      <w:bookmarkEnd w:id="58"/>
      <w:bookmarkEnd w:id="59"/>
      <w:bookmarkEnd w:id="60"/>
      <w:bookmarkEnd w:id="61"/>
      <w:bookmarkEnd w:id="62"/>
      <w:bookmarkEnd w:id="63"/>
    </w:p>
    <w:p>
      <w:pPr>
        <w:snapToGrid w:val="0"/>
        <w:spacing w:line="560" w:lineRule="exact"/>
        <w:ind w:firstLine="567"/>
        <w:rPr>
          <w:rFonts w:ascii="宋体" w:hAnsi="宋体"/>
          <w:color w:val="auto"/>
          <w:sz w:val="24"/>
        </w:rPr>
      </w:pPr>
      <w:r>
        <w:rPr>
          <w:rFonts w:hint="eastAsia" w:ascii="宋体" w:hAnsi="宋体"/>
          <w:color w:val="auto"/>
          <w:sz w:val="24"/>
        </w:rPr>
        <w:t>经甲、乙双方协商约定，采用如下方式处理：</w:t>
      </w:r>
    </w:p>
    <w:p>
      <w:pPr>
        <w:snapToGrid w:val="0"/>
        <w:spacing w:line="560" w:lineRule="exact"/>
        <w:ind w:firstLine="480" w:firstLineChars="200"/>
        <w:rPr>
          <w:rFonts w:ascii="宋体" w:hAnsi="宋体"/>
          <w:color w:val="auto"/>
          <w:sz w:val="24"/>
        </w:rPr>
      </w:pPr>
      <w:r>
        <w:rPr>
          <w:rFonts w:hint="eastAsia" w:ascii="宋体" w:hAnsi="宋体"/>
          <w:color w:val="auto"/>
          <w:sz w:val="24"/>
        </w:rPr>
        <w:t>本次产权转让不涉及企业职工安置</w:t>
      </w:r>
    </w:p>
    <w:p>
      <w:pPr>
        <w:snapToGrid w:val="0"/>
        <w:spacing w:line="560" w:lineRule="exact"/>
        <w:ind w:firstLine="482" w:firstLineChars="200"/>
        <w:rPr>
          <w:rFonts w:ascii="宋体" w:hAnsi="宋体"/>
          <w:b/>
          <w:color w:val="auto"/>
          <w:sz w:val="24"/>
          <w:szCs w:val="22"/>
        </w:rPr>
      </w:pPr>
      <w:bookmarkStart w:id="64" w:name="_Toc15544"/>
      <w:bookmarkStart w:id="65" w:name="_Toc22623"/>
      <w:bookmarkStart w:id="66" w:name="_Toc16755"/>
      <w:bookmarkStart w:id="67" w:name="_Toc4612"/>
      <w:bookmarkStart w:id="68" w:name="_Toc31062"/>
      <w:bookmarkStart w:id="69" w:name="_Toc11921"/>
      <w:bookmarkStart w:id="70" w:name="_Toc11482"/>
      <w:bookmarkStart w:id="71" w:name="_Toc1853"/>
      <w:bookmarkStart w:id="72" w:name="_Toc16832"/>
      <w:bookmarkStart w:id="73" w:name="_Toc18444"/>
      <w:bookmarkStart w:id="74" w:name="_Toc26448"/>
      <w:bookmarkStart w:id="75" w:name="_Toc32465"/>
      <w:r>
        <w:rPr>
          <w:rFonts w:hint="eastAsia" w:ascii="宋体" w:hAnsi="宋体"/>
          <w:b/>
          <w:color w:val="auto"/>
          <w:sz w:val="24"/>
          <w:szCs w:val="22"/>
        </w:rPr>
        <w:t>第五条  产权转让涉及的债权债务处理</w:t>
      </w:r>
      <w:bookmarkEnd w:id="64"/>
      <w:bookmarkEnd w:id="65"/>
      <w:bookmarkEnd w:id="66"/>
      <w:bookmarkEnd w:id="67"/>
      <w:bookmarkEnd w:id="68"/>
      <w:bookmarkEnd w:id="69"/>
      <w:bookmarkEnd w:id="70"/>
      <w:bookmarkEnd w:id="71"/>
      <w:bookmarkEnd w:id="72"/>
      <w:bookmarkEnd w:id="73"/>
      <w:bookmarkEnd w:id="74"/>
      <w:bookmarkEnd w:id="75"/>
    </w:p>
    <w:p>
      <w:pPr>
        <w:snapToGrid w:val="0"/>
        <w:spacing w:line="560" w:lineRule="exact"/>
        <w:ind w:firstLine="567"/>
        <w:rPr>
          <w:rFonts w:hint="eastAsia" w:ascii="宋体" w:hAnsi="宋体"/>
          <w:color w:val="auto"/>
          <w:sz w:val="24"/>
          <w:highlight w:val="none"/>
        </w:rPr>
      </w:pPr>
      <w:r>
        <w:rPr>
          <w:rFonts w:hint="eastAsia" w:ascii="宋体" w:hAnsi="宋体"/>
          <w:color w:val="auto"/>
          <w:sz w:val="24"/>
          <w:highlight w:val="none"/>
        </w:rPr>
        <w:t>经甲、乙双方协商约定，采用如下方式处理：</w:t>
      </w:r>
    </w:p>
    <w:p>
      <w:pPr>
        <w:snapToGrid w:val="0"/>
        <w:spacing w:line="560" w:lineRule="exact"/>
        <w:ind w:firstLine="567"/>
        <w:rPr>
          <w:rFonts w:ascii="宋体" w:hAnsi="宋体"/>
          <w:color w:val="auto"/>
          <w:sz w:val="24"/>
        </w:rPr>
      </w:pPr>
      <w:r>
        <w:rPr>
          <w:rFonts w:hint="eastAsia" w:ascii="宋体" w:hAnsi="宋体"/>
          <w:color w:val="auto"/>
          <w:sz w:val="24"/>
        </w:rPr>
        <w:t>（1）资产评估报告中涉及的标的企业债权债务由工商变更后的标的企业享有和承担；(2) 资产评估基准日的次日至工商变更完成之日（含）新增的债权债务由工商变更后的标的企业享有和承担；(3)工商变更完成之日次日起新增的债权债务由工商变更后的标的企业享有和承担。若标的企业评估基准日前有已发生而未披露的资产及债权，由甲方按原持股比例享有；对于未披露的债务，乙方在股权变更完成之日起的三年内发现的，有权要求甲方按原持股比例承担。</w:t>
      </w:r>
    </w:p>
    <w:p>
      <w:pPr>
        <w:snapToGrid w:val="0"/>
        <w:spacing w:line="560" w:lineRule="exact"/>
        <w:ind w:firstLine="482" w:firstLineChars="200"/>
        <w:rPr>
          <w:rFonts w:ascii="宋体" w:hAnsi="宋体"/>
          <w:b/>
          <w:color w:val="auto"/>
          <w:sz w:val="24"/>
          <w:szCs w:val="22"/>
        </w:rPr>
      </w:pPr>
      <w:bookmarkStart w:id="76" w:name="_Toc19043"/>
      <w:bookmarkStart w:id="77" w:name="_Toc13122"/>
      <w:bookmarkStart w:id="78" w:name="_Toc22850"/>
      <w:bookmarkStart w:id="79" w:name="_Toc27298"/>
      <w:bookmarkStart w:id="80" w:name="_Toc10886"/>
      <w:bookmarkStart w:id="81" w:name="_Toc8138"/>
      <w:bookmarkStart w:id="82" w:name="_Toc4358"/>
      <w:bookmarkStart w:id="83" w:name="_Toc31853"/>
      <w:bookmarkStart w:id="84" w:name="_Toc23881"/>
      <w:bookmarkStart w:id="85" w:name="_Toc9029"/>
      <w:bookmarkStart w:id="86" w:name="_Toc22615"/>
      <w:bookmarkStart w:id="87" w:name="_Toc21141"/>
      <w:r>
        <w:rPr>
          <w:rFonts w:hint="eastAsia" w:ascii="宋体" w:hAnsi="宋体"/>
          <w:b/>
          <w:color w:val="auto"/>
          <w:sz w:val="24"/>
          <w:szCs w:val="22"/>
        </w:rPr>
        <w:t>第六条  交易价款的支付方式、期限和划转程序</w:t>
      </w:r>
      <w:bookmarkEnd w:id="76"/>
      <w:bookmarkEnd w:id="77"/>
      <w:bookmarkEnd w:id="78"/>
      <w:bookmarkEnd w:id="79"/>
      <w:bookmarkEnd w:id="80"/>
      <w:bookmarkEnd w:id="81"/>
      <w:bookmarkEnd w:id="82"/>
      <w:bookmarkEnd w:id="83"/>
      <w:bookmarkEnd w:id="84"/>
      <w:bookmarkEnd w:id="85"/>
      <w:bookmarkEnd w:id="86"/>
      <w:bookmarkEnd w:id="87"/>
    </w:p>
    <w:p>
      <w:pPr>
        <w:snapToGrid w:val="0"/>
        <w:spacing w:line="560" w:lineRule="exact"/>
        <w:ind w:firstLine="567"/>
        <w:rPr>
          <w:rFonts w:ascii="宋体" w:hAnsi="宋体"/>
          <w:b/>
          <w:color w:val="auto"/>
          <w:sz w:val="24"/>
        </w:rPr>
      </w:pPr>
      <w:r>
        <w:rPr>
          <w:rFonts w:hint="eastAsia" w:ascii="宋体" w:hAnsi="宋体"/>
          <w:b/>
          <w:color w:val="auto"/>
          <w:sz w:val="24"/>
        </w:rPr>
        <w:t>经甲、乙双方约定，</w:t>
      </w:r>
    </w:p>
    <w:p>
      <w:pPr>
        <w:snapToGrid w:val="0"/>
        <w:spacing w:line="560" w:lineRule="exact"/>
        <w:ind w:firstLine="567"/>
        <w:rPr>
          <w:rFonts w:ascii="宋体" w:hAnsi="宋体"/>
          <w:color w:val="auto"/>
          <w:sz w:val="24"/>
        </w:rPr>
      </w:pPr>
      <w:r>
        <w:rPr>
          <w:rFonts w:hint="eastAsia" w:ascii="宋体" w:hAnsi="宋体"/>
          <w:color w:val="auto"/>
          <w:sz w:val="24"/>
        </w:rPr>
        <w:t>1.交易价款按照下列方式支付：</w:t>
      </w:r>
    </w:p>
    <w:p>
      <w:pPr>
        <w:shd w:val="clear" w:color="FFFFFF" w:fill="auto"/>
        <w:autoSpaceDN w:val="0"/>
        <w:spacing w:line="560" w:lineRule="exact"/>
        <w:ind w:firstLine="480" w:firstLineChars="200"/>
        <w:rPr>
          <w:rFonts w:ascii="宋体" w:hAnsi="宋体"/>
          <w:color w:val="auto"/>
          <w:sz w:val="24"/>
        </w:rPr>
      </w:pPr>
      <w:r>
        <w:rPr>
          <w:rFonts w:hint="eastAsia" w:ascii="宋体" w:hAnsi="宋体"/>
          <w:color w:val="auto"/>
          <w:sz w:val="24"/>
        </w:rPr>
        <w:t>1.1乙方向珠海产权交易中心交纳的诚意金¥</w:t>
      </w:r>
      <w:r>
        <w:rPr>
          <w:rFonts w:hint="eastAsia" w:ascii="宋体" w:hAnsi="宋体"/>
          <w:color w:val="auto"/>
          <w:sz w:val="24"/>
          <w:u w:val="single"/>
          <w:lang w:val="en-US" w:eastAsia="zh-CN"/>
        </w:rPr>
        <w:t>2000</w:t>
      </w:r>
      <w:r>
        <w:rPr>
          <w:rFonts w:hint="eastAsia" w:ascii="宋体" w:hAnsi="宋体"/>
          <w:color w:val="auto"/>
          <w:sz w:val="24"/>
        </w:rPr>
        <w:t>万元（大写</w:t>
      </w:r>
      <w:r>
        <w:rPr>
          <w:rFonts w:ascii="宋体" w:hAnsi="宋体"/>
          <w:color w:val="auto"/>
          <w:sz w:val="24"/>
        </w:rPr>
        <w:t>：</w:t>
      </w:r>
      <w:r>
        <w:rPr>
          <w:rFonts w:hint="eastAsia" w:ascii="宋体" w:hAnsi="宋体"/>
          <w:color w:val="auto"/>
          <w:sz w:val="24"/>
        </w:rPr>
        <w:t>人民币</w:t>
      </w:r>
      <w:r>
        <w:rPr>
          <w:rFonts w:hint="eastAsia" w:ascii="宋体" w:hAnsi="宋体"/>
          <w:color w:val="auto"/>
          <w:sz w:val="24"/>
          <w:lang w:eastAsia="zh-CN"/>
        </w:rPr>
        <w:t>贰仟万</w:t>
      </w:r>
      <w:r>
        <w:rPr>
          <w:rFonts w:hint="eastAsia" w:ascii="宋体" w:hAnsi="宋体"/>
          <w:color w:val="auto"/>
          <w:sz w:val="24"/>
          <w:u w:val="single"/>
        </w:rPr>
        <w:t xml:space="preserve">       </w:t>
      </w:r>
      <w:r>
        <w:rPr>
          <w:rFonts w:hint="eastAsia" w:ascii="宋体" w:hAnsi="宋体"/>
          <w:color w:val="auto"/>
          <w:sz w:val="24"/>
        </w:rPr>
        <w:t xml:space="preserve"> 元整），在乙方通过资格审核后自动转为交易保证金，由珠海产权交易中心无息转付给甲方，并在甲方收讫之日起自动转为交易价款的一部分。若因乙方违反产权交易相关法规政策、交易规则及相关规定导致保证金被扣除，不足以支付交易价款的，乙方应在保证金发生扣收之日起</w:t>
      </w:r>
      <w:r>
        <w:rPr>
          <w:rFonts w:hint="eastAsia" w:ascii="宋体" w:hAnsi="宋体"/>
          <w:color w:val="auto"/>
          <w:sz w:val="24"/>
          <w:u w:val="single"/>
          <w:lang w:val="en-US" w:eastAsia="zh-CN"/>
        </w:rPr>
        <w:t xml:space="preserve"> 5 </w:t>
      </w:r>
      <w:r>
        <w:rPr>
          <w:rFonts w:hint="eastAsia" w:ascii="宋体" w:hAnsi="宋体"/>
          <w:color w:val="auto"/>
          <w:sz w:val="24"/>
        </w:rPr>
        <w:t>日内一次补足。</w:t>
      </w:r>
    </w:p>
    <w:p>
      <w:pPr>
        <w:shd w:val="clear" w:color="FFFFFF" w:fill="auto"/>
        <w:autoSpaceDN w:val="0"/>
        <w:spacing w:line="560" w:lineRule="exact"/>
        <w:ind w:firstLine="480" w:firstLineChars="200"/>
        <w:rPr>
          <w:rFonts w:ascii="宋体" w:hAnsi="宋体"/>
          <w:color w:val="auto"/>
          <w:sz w:val="24"/>
        </w:rPr>
      </w:pPr>
      <w:r>
        <w:rPr>
          <w:rFonts w:hint="eastAsia" w:ascii="宋体" w:hAnsi="宋体"/>
          <w:color w:val="auto"/>
          <w:sz w:val="24"/>
        </w:rPr>
        <w:t>1.2交易价款在扣除保证金后的余款¥</w:t>
      </w:r>
      <w:r>
        <w:rPr>
          <w:rFonts w:hint="eastAsia" w:ascii="宋体" w:hAnsi="宋体"/>
          <w:color w:val="auto"/>
          <w:sz w:val="24"/>
          <w:u w:val="single"/>
        </w:rPr>
        <w:t xml:space="preserve">   </w:t>
      </w:r>
      <w:r>
        <w:rPr>
          <w:rFonts w:hint="eastAsia" w:ascii="宋体" w:hAnsi="宋体"/>
          <w:color w:val="auto"/>
          <w:sz w:val="24"/>
        </w:rPr>
        <w:t>万元（大写</w:t>
      </w:r>
      <w:r>
        <w:rPr>
          <w:rFonts w:ascii="宋体" w:hAnsi="宋体"/>
          <w:color w:val="auto"/>
          <w:sz w:val="24"/>
        </w:rPr>
        <w:t>：</w:t>
      </w:r>
      <w:r>
        <w:rPr>
          <w:rFonts w:hint="eastAsia" w:ascii="宋体" w:hAnsi="宋体"/>
          <w:color w:val="auto"/>
          <w:sz w:val="24"/>
        </w:rPr>
        <w:t>人民币</w:t>
      </w:r>
      <w:r>
        <w:rPr>
          <w:rFonts w:hint="eastAsia" w:ascii="宋体" w:hAnsi="宋体"/>
          <w:color w:val="auto"/>
          <w:sz w:val="24"/>
          <w:u w:val="single"/>
        </w:rPr>
        <w:t xml:space="preserve">        </w:t>
      </w:r>
      <w:r>
        <w:rPr>
          <w:rFonts w:hint="eastAsia" w:ascii="宋体" w:hAnsi="宋体"/>
          <w:color w:val="auto"/>
          <w:sz w:val="24"/>
        </w:rPr>
        <w:t>元整）应在本合同生效之日起</w:t>
      </w:r>
      <w:r>
        <w:rPr>
          <w:rFonts w:hint="eastAsia" w:ascii="宋体" w:hAnsi="宋体"/>
          <w:color w:val="auto"/>
          <w:sz w:val="24"/>
          <w:u w:val="single"/>
          <w:lang w:val="en-US" w:eastAsia="zh-CN"/>
        </w:rPr>
        <w:t xml:space="preserve"> 5 </w:t>
      </w:r>
      <w:r>
        <w:rPr>
          <w:rFonts w:hint="eastAsia" w:ascii="宋体" w:hAnsi="宋体"/>
          <w:color w:val="auto"/>
          <w:sz w:val="24"/>
        </w:rPr>
        <w:t>个工作日内一次付清（以银行到账时间为准），交易价款应通过珠海产权交易中心的专用结算账户进行支付，专用结算账户为：</w:t>
      </w:r>
    </w:p>
    <w:p>
      <w:pPr>
        <w:shd w:val="clear" w:color="FFFFFF" w:fill="auto"/>
        <w:autoSpaceDN w:val="0"/>
        <w:spacing w:line="560" w:lineRule="exact"/>
        <w:ind w:firstLine="480" w:firstLineChars="200"/>
        <w:rPr>
          <w:rFonts w:ascii="宋体" w:hAnsi="宋体"/>
          <w:color w:val="auto"/>
          <w:sz w:val="24"/>
        </w:rPr>
      </w:pPr>
      <w:r>
        <w:rPr>
          <w:rFonts w:hint="eastAsia" w:ascii="宋体" w:hAnsi="宋体"/>
          <w:color w:val="auto"/>
          <w:sz w:val="24"/>
        </w:rPr>
        <w:t>账户名称：珠海产权交易中心有限责任公司</w:t>
      </w:r>
    </w:p>
    <w:p>
      <w:pPr>
        <w:shd w:val="clear" w:color="FFFFFF" w:fill="auto"/>
        <w:autoSpaceDN w:val="0"/>
        <w:spacing w:line="560" w:lineRule="exact"/>
        <w:ind w:firstLine="480" w:firstLineChars="200"/>
        <w:rPr>
          <w:rFonts w:ascii="宋体" w:hAnsi="宋体"/>
          <w:color w:val="auto"/>
          <w:sz w:val="24"/>
        </w:rPr>
      </w:pPr>
      <w:r>
        <w:rPr>
          <w:rFonts w:hint="eastAsia" w:ascii="宋体" w:hAnsi="宋体"/>
          <w:color w:val="auto"/>
          <w:sz w:val="24"/>
        </w:rPr>
        <w:t>账号：</w:t>
      </w:r>
      <w:r>
        <w:rPr>
          <w:rFonts w:hint="eastAsia" w:ascii="宋体" w:hAnsi="宋体"/>
          <w:color w:val="auto"/>
          <w:sz w:val="24"/>
          <w:u w:val="single"/>
        </w:rPr>
        <w:t>44350401040016913</w:t>
      </w:r>
    </w:p>
    <w:p>
      <w:pPr>
        <w:shd w:val="clear" w:color="FFFFFF" w:fill="auto"/>
        <w:autoSpaceDN w:val="0"/>
        <w:spacing w:line="560" w:lineRule="exact"/>
        <w:ind w:firstLine="480" w:firstLineChars="200"/>
        <w:rPr>
          <w:rFonts w:ascii="宋体" w:hAnsi="宋体"/>
          <w:color w:val="auto"/>
          <w:sz w:val="24"/>
          <w:u w:val="single"/>
        </w:rPr>
      </w:pPr>
      <w:r>
        <w:rPr>
          <w:rFonts w:hint="eastAsia" w:ascii="宋体" w:hAnsi="宋体"/>
          <w:color w:val="auto"/>
          <w:sz w:val="24"/>
        </w:rPr>
        <w:t>开户行：</w:t>
      </w:r>
      <w:r>
        <w:rPr>
          <w:rFonts w:hint="eastAsia" w:ascii="宋体" w:hAnsi="宋体"/>
          <w:color w:val="auto"/>
          <w:sz w:val="24"/>
          <w:u w:val="single"/>
        </w:rPr>
        <w:t xml:space="preserve">中国农业银行珠海拱北支行 </w:t>
      </w:r>
    </w:p>
    <w:p>
      <w:pPr>
        <w:spacing w:line="560" w:lineRule="exact"/>
        <w:ind w:firstLine="420"/>
        <w:rPr>
          <w:rFonts w:ascii="宋体" w:hAnsi="宋体"/>
          <w:color w:val="auto"/>
          <w:sz w:val="24"/>
        </w:rPr>
      </w:pPr>
      <w:r>
        <w:rPr>
          <w:rFonts w:hint="eastAsia" w:ascii="宋体" w:hAnsi="宋体"/>
          <w:color w:val="auto"/>
          <w:sz w:val="24"/>
        </w:rPr>
        <w:t xml:space="preserve"> 2.交易价款划转程序：</w:t>
      </w:r>
    </w:p>
    <w:p>
      <w:pPr>
        <w:snapToGrid w:val="0"/>
        <w:spacing w:line="560" w:lineRule="exact"/>
        <w:ind w:firstLine="567"/>
        <w:rPr>
          <w:rFonts w:ascii="宋体" w:hAnsi="宋体"/>
          <w:color w:val="auto"/>
          <w:sz w:val="24"/>
        </w:rPr>
      </w:pPr>
      <w:r>
        <w:rPr>
          <w:rFonts w:hint="eastAsia" w:ascii="宋体" w:hAnsi="宋体"/>
          <w:color w:val="auto"/>
          <w:sz w:val="24"/>
        </w:rPr>
        <w:t>2.1乙方应于签订本合同的当日，与甲方共同向珠海产权交易中心出具《关于将交易价款支付给转让方的通知》（简称“转款通知”），珠海产权交易中心收到交易双方签署的《产权交易合同》及《项目履约监管协议》、转款通知、全额转让价款及足额交易服务费后5个工作日内，将股权转让价款全额支付给甲方。 甲方收款账户如下：</w:t>
      </w:r>
    </w:p>
    <w:p>
      <w:pPr>
        <w:snapToGrid w:val="0"/>
        <w:spacing w:line="560" w:lineRule="exact"/>
        <w:ind w:firstLine="567"/>
        <w:rPr>
          <w:rFonts w:ascii="宋体" w:hAnsi="宋体"/>
          <w:color w:val="auto"/>
          <w:sz w:val="24"/>
        </w:rPr>
      </w:pPr>
      <w:r>
        <w:rPr>
          <w:rFonts w:hint="eastAsia" w:ascii="宋体" w:hAnsi="宋体"/>
          <w:color w:val="auto"/>
          <w:sz w:val="24"/>
        </w:rPr>
        <w:t xml:space="preserve">户名： </w:t>
      </w:r>
    </w:p>
    <w:p>
      <w:pPr>
        <w:snapToGrid w:val="0"/>
        <w:spacing w:line="560" w:lineRule="exact"/>
        <w:ind w:firstLine="567"/>
        <w:rPr>
          <w:rFonts w:ascii="宋体" w:hAnsi="宋体"/>
          <w:color w:val="auto"/>
          <w:sz w:val="24"/>
        </w:rPr>
      </w:pPr>
      <w:r>
        <w:rPr>
          <w:rFonts w:hint="eastAsia" w:ascii="宋体" w:hAnsi="宋体"/>
          <w:color w:val="auto"/>
          <w:sz w:val="24"/>
        </w:rPr>
        <w:t>账号：</w:t>
      </w:r>
    </w:p>
    <w:p>
      <w:pPr>
        <w:snapToGrid w:val="0"/>
        <w:spacing w:line="560" w:lineRule="exact"/>
        <w:ind w:firstLine="567"/>
        <w:rPr>
          <w:rFonts w:ascii="宋体" w:hAnsi="宋体"/>
          <w:color w:val="auto"/>
          <w:sz w:val="24"/>
        </w:rPr>
      </w:pPr>
      <w:r>
        <w:rPr>
          <w:rFonts w:hint="eastAsia" w:ascii="宋体" w:hAnsi="宋体"/>
          <w:color w:val="auto"/>
          <w:sz w:val="24"/>
        </w:rPr>
        <w:t>开户行：</w:t>
      </w:r>
    </w:p>
    <w:p>
      <w:pPr>
        <w:snapToGrid w:val="0"/>
        <w:spacing w:line="560" w:lineRule="exact"/>
        <w:ind w:firstLine="482" w:firstLineChars="200"/>
        <w:rPr>
          <w:rFonts w:ascii="宋体" w:hAnsi="宋体"/>
          <w:b/>
          <w:bCs/>
          <w:color w:val="auto"/>
          <w:sz w:val="24"/>
          <w:szCs w:val="22"/>
        </w:rPr>
      </w:pPr>
      <w:bookmarkStart w:id="88" w:name="_Toc6383"/>
      <w:bookmarkStart w:id="89" w:name="_Toc12605"/>
      <w:bookmarkStart w:id="90" w:name="_Toc11761"/>
      <w:bookmarkStart w:id="91" w:name="_Toc11572"/>
      <w:bookmarkStart w:id="92" w:name="_Toc20592"/>
      <w:bookmarkStart w:id="93" w:name="_Toc4495"/>
      <w:bookmarkStart w:id="94" w:name="_Toc20738"/>
      <w:bookmarkStart w:id="95" w:name="_Toc23943"/>
      <w:bookmarkStart w:id="96" w:name="_Toc20474"/>
      <w:bookmarkStart w:id="97" w:name="_Toc9467"/>
      <w:bookmarkStart w:id="98" w:name="_Toc5097"/>
      <w:bookmarkStart w:id="99" w:name="_Toc31749"/>
      <w:r>
        <w:rPr>
          <w:rFonts w:hint="eastAsia" w:ascii="宋体" w:hAnsi="宋体"/>
          <w:b/>
          <w:bCs/>
          <w:color w:val="auto"/>
          <w:sz w:val="24"/>
          <w:szCs w:val="22"/>
        </w:rPr>
        <w:t>第七条  损益处理事项</w:t>
      </w:r>
      <w:bookmarkEnd w:id="88"/>
      <w:bookmarkEnd w:id="89"/>
      <w:bookmarkEnd w:id="90"/>
      <w:bookmarkEnd w:id="91"/>
      <w:bookmarkEnd w:id="92"/>
      <w:bookmarkEnd w:id="93"/>
      <w:bookmarkEnd w:id="94"/>
      <w:bookmarkEnd w:id="95"/>
      <w:bookmarkEnd w:id="96"/>
      <w:bookmarkEnd w:id="97"/>
      <w:bookmarkEnd w:id="98"/>
      <w:bookmarkEnd w:id="99"/>
    </w:p>
    <w:p>
      <w:pPr>
        <w:snapToGrid w:val="0"/>
        <w:spacing w:line="560" w:lineRule="exact"/>
        <w:ind w:firstLine="567"/>
        <w:rPr>
          <w:rFonts w:ascii="宋体" w:hAnsi="宋体"/>
          <w:color w:val="auto"/>
          <w:sz w:val="24"/>
        </w:rPr>
      </w:pPr>
      <w:r>
        <w:rPr>
          <w:rFonts w:hint="eastAsia" w:ascii="宋体" w:hAnsi="宋体"/>
          <w:color w:val="auto"/>
          <w:sz w:val="24"/>
        </w:rPr>
        <w:t>甲、乙双方同意，交易基准日（资产评估基准日）为</w:t>
      </w:r>
      <w:r>
        <w:rPr>
          <w:rFonts w:hint="eastAsia" w:ascii="宋体" w:hAnsi="宋体"/>
          <w:color w:val="auto"/>
          <w:sz w:val="24"/>
          <w:u w:val="single"/>
          <w:lang w:val="en-US" w:eastAsia="zh-CN"/>
        </w:rPr>
        <w:t>2022</w:t>
      </w:r>
      <w:r>
        <w:rPr>
          <w:rFonts w:hint="eastAsia" w:ascii="宋体" w:hAnsi="宋体"/>
          <w:color w:val="auto"/>
          <w:sz w:val="24"/>
        </w:rPr>
        <w:t>年</w:t>
      </w:r>
      <w:r>
        <w:rPr>
          <w:rFonts w:hint="eastAsia" w:ascii="宋体" w:hAnsi="宋体"/>
          <w:color w:val="auto"/>
          <w:sz w:val="24"/>
          <w:u w:val="single"/>
          <w:lang w:val="en-US" w:eastAsia="zh-CN"/>
        </w:rPr>
        <w:t>4</w:t>
      </w:r>
      <w:r>
        <w:rPr>
          <w:rFonts w:hint="eastAsia" w:ascii="宋体" w:hAnsi="宋体"/>
          <w:color w:val="auto"/>
          <w:sz w:val="24"/>
        </w:rPr>
        <w:t>月</w:t>
      </w:r>
      <w:r>
        <w:rPr>
          <w:rFonts w:hint="eastAsia" w:ascii="宋体" w:hAnsi="宋体"/>
          <w:color w:val="auto"/>
          <w:sz w:val="24"/>
          <w:u w:val="single"/>
          <w:lang w:val="en-US" w:eastAsia="zh-CN"/>
        </w:rPr>
        <w:t>15</w:t>
      </w:r>
      <w:r>
        <w:rPr>
          <w:rFonts w:hint="eastAsia" w:ascii="宋体" w:hAnsi="宋体"/>
          <w:color w:val="auto"/>
          <w:sz w:val="24"/>
        </w:rPr>
        <w:t>日。标的企业自交易基准日（资产评估基准日）到工商变更完成之日（含）的期间内产生的损益（剔除计提建筑物和土地折旧的费用）由甲方按原持股比例享有及承担，转让价款不作调整。</w:t>
      </w:r>
    </w:p>
    <w:p>
      <w:pPr>
        <w:snapToGrid w:val="0"/>
        <w:spacing w:line="560" w:lineRule="exact"/>
        <w:ind w:firstLine="482" w:firstLineChars="200"/>
        <w:rPr>
          <w:rFonts w:ascii="宋体" w:hAnsi="宋体"/>
          <w:b/>
          <w:bCs/>
          <w:color w:val="auto"/>
          <w:sz w:val="24"/>
          <w:szCs w:val="22"/>
        </w:rPr>
      </w:pPr>
      <w:bookmarkStart w:id="100" w:name="_Toc27128"/>
      <w:bookmarkStart w:id="101" w:name="_Toc9872"/>
      <w:bookmarkStart w:id="102" w:name="_Toc25427"/>
      <w:bookmarkStart w:id="103" w:name="_Toc3553"/>
      <w:bookmarkStart w:id="104" w:name="_Toc17201"/>
      <w:bookmarkStart w:id="105" w:name="_Toc14367"/>
      <w:bookmarkStart w:id="106" w:name="_Toc23264"/>
      <w:bookmarkStart w:id="107" w:name="_Toc13445"/>
      <w:bookmarkStart w:id="108" w:name="_Toc361"/>
      <w:bookmarkStart w:id="109" w:name="_Toc31622"/>
      <w:bookmarkStart w:id="110" w:name="_Toc20435"/>
      <w:bookmarkStart w:id="111" w:name="_Toc6211"/>
      <w:r>
        <w:rPr>
          <w:rFonts w:hint="eastAsia" w:ascii="宋体" w:hAnsi="宋体"/>
          <w:b/>
          <w:bCs/>
          <w:color w:val="auto"/>
          <w:sz w:val="24"/>
          <w:szCs w:val="22"/>
        </w:rPr>
        <w:t>第八条 交易凭证出具、工商变更及产权交割</w:t>
      </w:r>
      <w:bookmarkEnd w:id="100"/>
      <w:bookmarkEnd w:id="101"/>
      <w:bookmarkEnd w:id="102"/>
      <w:bookmarkEnd w:id="103"/>
      <w:bookmarkEnd w:id="104"/>
      <w:bookmarkEnd w:id="105"/>
      <w:bookmarkEnd w:id="106"/>
      <w:bookmarkEnd w:id="107"/>
      <w:bookmarkEnd w:id="108"/>
      <w:bookmarkEnd w:id="109"/>
      <w:bookmarkEnd w:id="110"/>
      <w:bookmarkEnd w:id="111"/>
    </w:p>
    <w:p>
      <w:pPr>
        <w:snapToGrid w:val="0"/>
        <w:spacing w:line="560" w:lineRule="exact"/>
        <w:ind w:firstLine="567"/>
        <w:rPr>
          <w:rFonts w:ascii="宋体" w:hAnsi="宋体"/>
          <w:color w:val="auto"/>
          <w:sz w:val="24"/>
        </w:rPr>
      </w:pPr>
      <w:r>
        <w:rPr>
          <w:rFonts w:hint="eastAsia" w:ascii="宋体" w:hAnsi="宋体"/>
          <w:color w:val="auto"/>
          <w:sz w:val="24"/>
        </w:rPr>
        <w:t>1.交易凭证出具</w:t>
      </w:r>
    </w:p>
    <w:p>
      <w:pPr>
        <w:snapToGrid w:val="0"/>
        <w:spacing w:line="560" w:lineRule="exact"/>
        <w:ind w:firstLine="567"/>
        <w:rPr>
          <w:rFonts w:ascii="宋体" w:hAnsi="宋体"/>
          <w:color w:val="auto"/>
          <w:sz w:val="24"/>
        </w:rPr>
      </w:pPr>
      <w:r>
        <w:rPr>
          <w:rFonts w:hint="eastAsia" w:ascii="宋体" w:hAnsi="宋体"/>
          <w:color w:val="auto"/>
          <w:sz w:val="24"/>
        </w:rPr>
        <w:t>珠海产权交易中心在收到交易价款及交易双方足额服务费用次日起三个工作日内出具交易凭证，无需交易双方另行通知。</w:t>
      </w:r>
    </w:p>
    <w:p>
      <w:pPr>
        <w:snapToGrid w:val="0"/>
        <w:spacing w:line="560" w:lineRule="exact"/>
        <w:ind w:firstLine="482" w:firstLineChars="200"/>
        <w:rPr>
          <w:rFonts w:ascii="宋体" w:hAnsi="宋体"/>
          <w:b/>
          <w:bCs/>
          <w:color w:val="auto"/>
          <w:sz w:val="24"/>
          <w:szCs w:val="22"/>
        </w:rPr>
      </w:pPr>
      <w:bookmarkStart w:id="112" w:name="_Toc29949"/>
      <w:bookmarkStart w:id="113" w:name="_Toc29028"/>
      <w:bookmarkStart w:id="114" w:name="_Toc3278"/>
      <w:bookmarkStart w:id="115" w:name="_Toc4132"/>
      <w:bookmarkStart w:id="116" w:name="_Toc26026"/>
      <w:bookmarkStart w:id="117" w:name="_Toc28694"/>
      <w:bookmarkStart w:id="118" w:name="_Toc19196"/>
      <w:bookmarkStart w:id="119" w:name="_Toc3662"/>
      <w:bookmarkStart w:id="120" w:name="_Toc4351"/>
      <w:bookmarkStart w:id="121" w:name="_Toc17434"/>
      <w:bookmarkStart w:id="122" w:name="_Toc22863"/>
      <w:bookmarkStart w:id="123" w:name="_Toc31479"/>
      <w:r>
        <w:rPr>
          <w:rFonts w:hint="eastAsia" w:ascii="宋体" w:hAnsi="宋体"/>
          <w:b/>
          <w:bCs/>
          <w:color w:val="auto"/>
          <w:sz w:val="24"/>
          <w:szCs w:val="22"/>
        </w:rPr>
        <w:t>第九条  产权转让的税收和费用</w:t>
      </w:r>
      <w:bookmarkEnd w:id="112"/>
      <w:bookmarkEnd w:id="113"/>
      <w:bookmarkEnd w:id="114"/>
      <w:bookmarkEnd w:id="115"/>
      <w:bookmarkEnd w:id="116"/>
      <w:bookmarkEnd w:id="117"/>
      <w:bookmarkEnd w:id="118"/>
      <w:bookmarkEnd w:id="119"/>
      <w:bookmarkEnd w:id="120"/>
      <w:bookmarkEnd w:id="121"/>
      <w:bookmarkEnd w:id="122"/>
      <w:bookmarkEnd w:id="123"/>
    </w:p>
    <w:p>
      <w:pPr>
        <w:snapToGrid w:val="0"/>
        <w:spacing w:line="560" w:lineRule="exact"/>
        <w:ind w:firstLine="567"/>
        <w:rPr>
          <w:rFonts w:hint="eastAsia" w:ascii="宋体" w:hAnsi="宋体"/>
          <w:color w:val="auto"/>
          <w:sz w:val="24"/>
        </w:rPr>
      </w:pPr>
      <w:r>
        <w:rPr>
          <w:rFonts w:hint="eastAsia" w:ascii="宋体" w:hAnsi="宋体"/>
          <w:color w:val="auto"/>
          <w:sz w:val="24"/>
          <w:lang w:val="en-US" w:eastAsia="zh-CN"/>
        </w:rPr>
        <w:t>1.</w:t>
      </w:r>
      <w:r>
        <w:rPr>
          <w:rFonts w:hint="eastAsia" w:ascii="宋体" w:hAnsi="宋体"/>
          <w:color w:val="auto"/>
          <w:sz w:val="24"/>
        </w:rPr>
        <w:t>产权转让中涉及的一切法定税费（即由代表国家行使征税职责的国家各级税务机关、海关和财政机关征收的税费），除本协议另有约定外，按照国家有关法律规定缴纳。</w:t>
      </w:r>
    </w:p>
    <w:p>
      <w:pPr>
        <w:snapToGrid w:val="0"/>
        <w:spacing w:line="560" w:lineRule="exact"/>
        <w:rPr>
          <w:rFonts w:ascii="宋体" w:hAnsi="宋体"/>
          <w:color w:val="auto"/>
          <w:sz w:val="24"/>
        </w:rPr>
      </w:pPr>
      <w:r>
        <w:rPr>
          <w:rFonts w:hint="eastAsia" w:ascii="宋体" w:hAnsi="宋体"/>
          <w:color w:val="auto"/>
          <w:sz w:val="24"/>
        </w:rPr>
        <w:t xml:space="preserve">     2.产权转让中涉及的除</w:t>
      </w:r>
      <w:r>
        <w:rPr>
          <w:rFonts w:ascii="宋体" w:hAnsi="宋体"/>
          <w:color w:val="auto"/>
          <w:sz w:val="24"/>
        </w:rPr>
        <w:t>法定税费之外的</w:t>
      </w:r>
      <w:r>
        <w:rPr>
          <w:rFonts w:hint="eastAsia" w:ascii="宋体" w:hAnsi="宋体"/>
          <w:color w:val="auto"/>
          <w:sz w:val="24"/>
        </w:rPr>
        <w:t>有关费用包括</w:t>
      </w:r>
      <w:r>
        <w:rPr>
          <w:rFonts w:ascii="宋体" w:hAnsi="宋体"/>
          <w:color w:val="auto"/>
          <w:sz w:val="24"/>
        </w:rPr>
        <w:t>但不限于产权交易服务</w:t>
      </w:r>
      <w:r>
        <w:rPr>
          <w:rFonts w:hint="eastAsia" w:ascii="宋体" w:hAnsi="宋体"/>
          <w:color w:val="auto"/>
          <w:sz w:val="24"/>
          <w:lang w:eastAsia="zh-CN"/>
        </w:rPr>
        <w:t>等相关</w:t>
      </w:r>
      <w:r>
        <w:rPr>
          <w:rFonts w:ascii="宋体" w:hAnsi="宋体"/>
          <w:color w:val="auto"/>
          <w:sz w:val="24"/>
        </w:rPr>
        <w:t>费</w:t>
      </w:r>
      <w:r>
        <w:rPr>
          <w:rFonts w:hint="eastAsia" w:ascii="宋体" w:hAnsi="宋体"/>
          <w:color w:val="auto"/>
          <w:sz w:val="24"/>
          <w:lang w:eastAsia="zh-CN"/>
        </w:rPr>
        <w:t>用</w:t>
      </w:r>
      <w:r>
        <w:rPr>
          <w:rFonts w:hint="eastAsia" w:ascii="宋体" w:hAnsi="宋体"/>
          <w:color w:val="auto"/>
          <w:sz w:val="24"/>
        </w:rPr>
        <w:t>，经甲、乙双方当事人共同协商约定，由</w:t>
      </w:r>
      <w:r>
        <w:rPr>
          <w:rFonts w:hint="eastAsia" w:ascii="宋体" w:hAnsi="宋体"/>
          <w:color w:val="auto"/>
          <w:sz w:val="24"/>
          <w:u w:val="single"/>
          <w:lang w:eastAsia="zh-CN"/>
        </w:rPr>
        <w:t>乙</w:t>
      </w:r>
      <w:r>
        <w:rPr>
          <w:rFonts w:hint="eastAsia" w:ascii="宋体" w:hAnsi="宋体"/>
          <w:color w:val="auto"/>
          <w:sz w:val="24"/>
        </w:rPr>
        <w:t xml:space="preserve">承担。 </w:t>
      </w:r>
    </w:p>
    <w:p>
      <w:pPr>
        <w:snapToGrid w:val="0"/>
        <w:spacing w:line="560" w:lineRule="exact"/>
        <w:ind w:firstLine="482" w:firstLineChars="200"/>
        <w:rPr>
          <w:rFonts w:ascii="宋体" w:hAnsi="宋体"/>
          <w:b/>
          <w:bCs/>
          <w:color w:val="auto"/>
          <w:sz w:val="24"/>
          <w:szCs w:val="22"/>
        </w:rPr>
      </w:pPr>
      <w:bookmarkStart w:id="124" w:name="_Toc4804"/>
      <w:bookmarkStart w:id="125" w:name="_Toc1547"/>
      <w:bookmarkStart w:id="126" w:name="_Toc6351"/>
      <w:bookmarkStart w:id="127" w:name="_Toc14659"/>
      <w:bookmarkStart w:id="128" w:name="_Toc30884"/>
      <w:bookmarkStart w:id="129" w:name="_Toc21244"/>
      <w:bookmarkStart w:id="130" w:name="_Toc6352"/>
      <w:bookmarkStart w:id="131" w:name="_Toc7333"/>
      <w:bookmarkStart w:id="132" w:name="_Toc11800"/>
      <w:bookmarkStart w:id="133" w:name="_Toc9204"/>
      <w:bookmarkStart w:id="134" w:name="_Toc26738"/>
      <w:bookmarkStart w:id="135" w:name="_Toc16987"/>
      <w:r>
        <w:rPr>
          <w:rFonts w:hint="eastAsia" w:ascii="宋体" w:hAnsi="宋体"/>
          <w:b/>
          <w:bCs/>
          <w:color w:val="auto"/>
          <w:sz w:val="24"/>
          <w:szCs w:val="22"/>
        </w:rPr>
        <w:t>第十条  甲、乙双方的承诺与保证</w:t>
      </w:r>
      <w:bookmarkEnd w:id="124"/>
      <w:bookmarkEnd w:id="125"/>
      <w:bookmarkEnd w:id="126"/>
      <w:bookmarkEnd w:id="127"/>
      <w:bookmarkEnd w:id="128"/>
      <w:bookmarkEnd w:id="129"/>
      <w:bookmarkEnd w:id="130"/>
      <w:bookmarkEnd w:id="131"/>
      <w:bookmarkEnd w:id="132"/>
      <w:bookmarkEnd w:id="133"/>
      <w:bookmarkEnd w:id="134"/>
      <w:bookmarkEnd w:id="135"/>
    </w:p>
    <w:p>
      <w:pPr>
        <w:snapToGrid w:val="0"/>
        <w:spacing w:line="560" w:lineRule="exact"/>
        <w:ind w:firstLine="567"/>
        <w:rPr>
          <w:rFonts w:ascii="宋体" w:hAnsi="宋体"/>
          <w:color w:val="auto"/>
          <w:sz w:val="24"/>
        </w:rPr>
      </w:pPr>
      <w:r>
        <w:rPr>
          <w:rFonts w:hint="eastAsia" w:ascii="宋体" w:hAnsi="宋体"/>
          <w:color w:val="auto"/>
          <w:sz w:val="24"/>
        </w:rPr>
        <w:t>1．甲方向乙方承诺所转让的产权权属真实、完整，没有隐匿下列事实：</w:t>
      </w:r>
    </w:p>
    <w:p>
      <w:pPr>
        <w:snapToGrid w:val="0"/>
        <w:spacing w:line="560" w:lineRule="exact"/>
        <w:ind w:firstLine="567"/>
        <w:rPr>
          <w:rFonts w:ascii="宋体" w:hAnsi="宋体"/>
          <w:color w:val="auto"/>
          <w:sz w:val="24"/>
        </w:rPr>
      </w:pPr>
      <w:r>
        <w:rPr>
          <w:rFonts w:hint="eastAsia" w:ascii="宋体" w:hAnsi="宋体"/>
          <w:color w:val="auto"/>
          <w:sz w:val="24"/>
        </w:rPr>
        <w:t>（1）执法机构查封资产的情形；</w:t>
      </w:r>
    </w:p>
    <w:p>
      <w:pPr>
        <w:snapToGrid w:val="0"/>
        <w:spacing w:line="560" w:lineRule="exact"/>
        <w:ind w:firstLine="567"/>
        <w:rPr>
          <w:rFonts w:ascii="宋体" w:hAnsi="宋体"/>
          <w:color w:val="auto"/>
          <w:sz w:val="24"/>
        </w:rPr>
      </w:pPr>
      <w:r>
        <w:rPr>
          <w:rFonts w:hint="eastAsia" w:ascii="宋体" w:hAnsi="宋体"/>
          <w:color w:val="auto"/>
          <w:sz w:val="24"/>
        </w:rPr>
        <w:t>（2）权益、资产担保的情形；</w:t>
      </w:r>
    </w:p>
    <w:p>
      <w:pPr>
        <w:snapToGrid w:val="0"/>
        <w:spacing w:line="560" w:lineRule="exact"/>
        <w:ind w:firstLine="567"/>
        <w:rPr>
          <w:rFonts w:ascii="宋体" w:hAnsi="宋体"/>
          <w:color w:val="auto"/>
          <w:sz w:val="24"/>
        </w:rPr>
      </w:pPr>
      <w:r>
        <w:rPr>
          <w:rFonts w:hint="eastAsia" w:ascii="宋体" w:hAnsi="宋体"/>
          <w:color w:val="auto"/>
          <w:sz w:val="24"/>
        </w:rPr>
        <w:t>（3）资产隐匿的情形；</w:t>
      </w:r>
    </w:p>
    <w:p>
      <w:pPr>
        <w:snapToGrid w:val="0"/>
        <w:spacing w:line="560" w:lineRule="exact"/>
        <w:ind w:firstLine="567"/>
        <w:rPr>
          <w:rFonts w:ascii="宋体" w:hAnsi="宋体"/>
          <w:color w:val="auto"/>
          <w:sz w:val="24"/>
        </w:rPr>
      </w:pPr>
      <w:r>
        <w:rPr>
          <w:rFonts w:hint="eastAsia" w:ascii="宋体" w:hAnsi="宋体"/>
          <w:color w:val="auto"/>
          <w:sz w:val="24"/>
        </w:rPr>
        <w:t>（4）诉讼正在进行中的情形；</w:t>
      </w:r>
    </w:p>
    <w:p>
      <w:pPr>
        <w:snapToGrid w:val="0"/>
        <w:spacing w:line="560" w:lineRule="exact"/>
        <w:ind w:firstLine="567"/>
        <w:rPr>
          <w:rFonts w:ascii="宋体" w:hAnsi="宋体"/>
          <w:color w:val="auto"/>
          <w:sz w:val="24"/>
        </w:rPr>
      </w:pPr>
      <w:r>
        <w:rPr>
          <w:rFonts w:hint="eastAsia" w:ascii="宋体" w:hAnsi="宋体"/>
          <w:color w:val="auto"/>
          <w:sz w:val="24"/>
        </w:rPr>
        <w:t>（5）影响产权真实、完整的其他事实。</w:t>
      </w:r>
    </w:p>
    <w:p>
      <w:pPr>
        <w:snapToGrid w:val="0"/>
        <w:spacing w:line="560" w:lineRule="exact"/>
        <w:ind w:firstLine="567"/>
        <w:rPr>
          <w:rFonts w:ascii="宋体" w:hAnsi="宋体"/>
          <w:color w:val="auto"/>
          <w:sz w:val="24"/>
        </w:rPr>
      </w:pPr>
      <w:r>
        <w:rPr>
          <w:rFonts w:hint="eastAsia" w:ascii="宋体" w:hAnsi="宋体"/>
          <w:color w:val="auto"/>
          <w:sz w:val="24"/>
        </w:rPr>
        <w:t>2．乙方向甲方承诺拥有完全的权利能力和行为能力进行产权受让，无欺诈行为。</w:t>
      </w:r>
    </w:p>
    <w:p>
      <w:pPr>
        <w:snapToGrid w:val="0"/>
        <w:spacing w:line="560" w:lineRule="exact"/>
        <w:ind w:firstLine="567"/>
        <w:rPr>
          <w:rFonts w:ascii="宋体" w:hAnsi="宋体"/>
          <w:color w:val="auto"/>
          <w:sz w:val="24"/>
        </w:rPr>
      </w:pPr>
      <w:r>
        <w:rPr>
          <w:rFonts w:hint="eastAsia" w:ascii="宋体" w:hAnsi="宋体"/>
          <w:color w:val="auto"/>
          <w:sz w:val="24"/>
        </w:rPr>
        <w:t>3. 甲、乙双方均向对方保证签订本合同所需的包括但不限于授权、审批、公司内部决策等在内的一切手续均已合法有效取得。</w:t>
      </w:r>
    </w:p>
    <w:p>
      <w:pPr>
        <w:snapToGrid w:val="0"/>
        <w:spacing w:line="560" w:lineRule="exact"/>
        <w:ind w:firstLine="567"/>
        <w:rPr>
          <w:rFonts w:ascii="宋体" w:hAnsi="宋体"/>
          <w:color w:val="auto"/>
          <w:sz w:val="24"/>
        </w:rPr>
      </w:pPr>
      <w:r>
        <w:rPr>
          <w:rFonts w:hint="eastAsia" w:ascii="宋体" w:hAnsi="宋体"/>
          <w:color w:val="auto"/>
          <w:sz w:val="24"/>
        </w:rPr>
        <w:t>4．未经对方事先书面许可，任何一方不得泄露本合同中的内容。</w:t>
      </w:r>
    </w:p>
    <w:p>
      <w:pPr>
        <w:snapToGrid w:val="0"/>
        <w:spacing w:line="560" w:lineRule="exact"/>
        <w:ind w:firstLine="567"/>
        <w:rPr>
          <w:rFonts w:ascii="宋体" w:hAnsi="宋体"/>
          <w:color w:val="auto"/>
          <w:sz w:val="24"/>
        </w:rPr>
      </w:pPr>
      <w:r>
        <w:rPr>
          <w:rFonts w:hint="eastAsia" w:ascii="宋体" w:hAnsi="宋体"/>
          <w:color w:val="auto"/>
          <w:sz w:val="24"/>
        </w:rPr>
        <w:t>5. 乙方作为受让方，承诺知悉并按照包括但不限于珠海产权交易中心网站发布的本转让标的转让信息公告（详见附件）的要求，履行受让方义务。</w:t>
      </w:r>
    </w:p>
    <w:p>
      <w:pPr>
        <w:snapToGrid w:val="0"/>
        <w:spacing w:line="560" w:lineRule="exact"/>
        <w:rPr>
          <w:rFonts w:hint="eastAsia" w:ascii="宋体" w:hAnsi="宋体" w:eastAsia="宋体"/>
          <w:color w:val="auto"/>
          <w:sz w:val="24"/>
          <w:highlight w:val="none"/>
          <w:lang w:val="en-US" w:eastAsia="zh-CN"/>
        </w:rPr>
      </w:pPr>
      <w:r>
        <w:rPr>
          <w:rFonts w:hint="eastAsia" w:ascii="宋体" w:hAnsi="宋体"/>
          <w:color w:val="auto"/>
          <w:sz w:val="24"/>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6.乙方作为受让方，已完全</w:t>
      </w:r>
      <w:r>
        <w:rPr>
          <w:rFonts w:hint="eastAsia" w:ascii="宋体" w:hAnsi="宋体"/>
          <w:color w:val="auto"/>
          <w:sz w:val="24"/>
          <w:highlight w:val="none"/>
          <w:lang w:val="en-US" w:eastAsia="zh-CN"/>
        </w:rPr>
        <w:t>知晓、</w:t>
      </w:r>
      <w:r>
        <w:rPr>
          <w:rFonts w:hint="eastAsia" w:ascii="宋体" w:hAnsi="宋体"/>
          <w:color w:val="auto"/>
          <w:sz w:val="24"/>
          <w:highlight w:val="none"/>
        </w:rPr>
        <w:t>理解并接受珠海产权交易中心网站发布的本转让标的转让信息公告（详见附件）所披露的内容</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并承诺遵守</w:t>
      </w:r>
      <w:r>
        <w:rPr>
          <w:rFonts w:hint="eastAsia" w:ascii="宋体" w:hAnsi="宋体"/>
          <w:color w:val="auto"/>
          <w:sz w:val="24"/>
          <w:highlight w:val="none"/>
        </w:rPr>
        <w:t>。</w:t>
      </w:r>
      <w:r>
        <w:rPr>
          <w:rFonts w:hint="eastAsia" w:ascii="宋体" w:hAnsi="宋体"/>
          <w:color w:val="auto"/>
          <w:sz w:val="24"/>
          <w:highlight w:val="none"/>
          <w:lang w:val="en-US" w:eastAsia="zh-CN"/>
        </w:rPr>
        <w:t>其中：</w:t>
      </w:r>
    </w:p>
    <w:p>
      <w:pPr>
        <w:snapToGrid w:val="0"/>
        <w:spacing w:line="560" w:lineRule="exact"/>
        <w:ind w:firstLine="482" w:firstLineChars="200"/>
        <w:rPr>
          <w:rFonts w:hint="eastAsia" w:ascii="宋体" w:hAnsi="宋体"/>
          <w:b/>
          <w:bCs/>
          <w:color w:val="auto"/>
          <w:sz w:val="24"/>
          <w:highlight w:val="none"/>
        </w:rPr>
      </w:pP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1</w:t>
      </w:r>
      <w:r>
        <w:rPr>
          <w:rFonts w:hint="eastAsia" w:ascii="宋体" w:hAnsi="宋体"/>
          <w:b/>
          <w:bCs/>
          <w:color w:val="auto"/>
          <w:sz w:val="24"/>
          <w:highlight w:val="none"/>
          <w:lang w:eastAsia="zh-CN"/>
        </w:rPr>
        <w:t>）</w:t>
      </w:r>
      <w:r>
        <w:rPr>
          <w:rFonts w:hint="eastAsia" w:ascii="宋体" w:hAnsi="宋体"/>
          <w:b/>
          <w:bCs/>
          <w:color w:val="auto"/>
          <w:sz w:val="24"/>
          <w:highlight w:val="none"/>
        </w:rPr>
        <w:t>乙方需在签订本合同之日与中山市小榄镇人民政府签订《项目履约监管协议》，否则，甲方有权单方解除本合同，没收乙方已支付的交易保证金，并将转让标的重新挂牌对外出让。</w:t>
      </w:r>
    </w:p>
    <w:p>
      <w:pPr>
        <w:snapToGrid w:val="0"/>
        <w:spacing w:line="560" w:lineRule="exact"/>
        <w:ind w:firstLine="482" w:firstLineChars="200"/>
        <w:rPr>
          <w:rFonts w:hint="eastAsia" w:ascii="宋体" w:hAnsi="宋体"/>
          <w:b/>
          <w:bCs/>
          <w:color w:val="auto"/>
          <w:sz w:val="24"/>
          <w:highlight w:val="none"/>
        </w:rPr>
      </w:pP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2</w:t>
      </w:r>
      <w:r>
        <w:rPr>
          <w:rFonts w:hint="eastAsia" w:ascii="宋体" w:hAnsi="宋体"/>
          <w:b/>
          <w:bCs/>
          <w:color w:val="auto"/>
          <w:sz w:val="24"/>
          <w:highlight w:val="none"/>
          <w:lang w:eastAsia="zh-CN"/>
        </w:rPr>
        <w:t>）</w:t>
      </w:r>
      <w:r>
        <w:rPr>
          <w:rFonts w:hint="eastAsia" w:ascii="宋体" w:hAnsi="宋体"/>
          <w:b/>
          <w:bCs/>
          <w:color w:val="auto"/>
          <w:sz w:val="24"/>
          <w:highlight w:val="none"/>
        </w:rPr>
        <w:t>乙方签订本合同前，已先行对标的企业及名下资产进行尽职调查。甲方按现状交付相关物业及资产，签订本合同后，乙方不得再以物业或资产存在瑕疵为由要求甲方承担任何违约责任。</w:t>
      </w:r>
    </w:p>
    <w:p>
      <w:pPr>
        <w:snapToGrid w:val="0"/>
        <w:spacing w:line="560" w:lineRule="exact"/>
        <w:ind w:firstLine="482" w:firstLineChars="200"/>
        <w:rPr>
          <w:rFonts w:hint="default" w:ascii="宋体" w:hAnsi="宋体" w:eastAsia="宋体"/>
          <w:b/>
          <w:bCs/>
          <w:color w:val="auto"/>
          <w:sz w:val="24"/>
          <w:highlight w:val="none"/>
          <w:lang w:val="en-US" w:eastAsia="zh-CN"/>
        </w:rPr>
      </w:pP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3</w:t>
      </w:r>
      <w:r>
        <w:rPr>
          <w:rFonts w:hint="eastAsia" w:ascii="宋体" w:hAnsi="宋体"/>
          <w:b/>
          <w:bCs/>
          <w:color w:val="auto"/>
          <w:sz w:val="24"/>
          <w:highlight w:val="none"/>
          <w:lang w:eastAsia="zh-CN"/>
        </w:rPr>
        <w:t>）</w:t>
      </w:r>
      <w:r>
        <w:rPr>
          <w:rFonts w:hint="eastAsia" w:ascii="宋体" w:hAnsi="宋体"/>
          <w:b/>
          <w:bCs/>
          <w:color w:val="auto"/>
          <w:sz w:val="24"/>
          <w:highlight w:val="none"/>
        </w:rPr>
        <w:t>标的企业名下位于中山市小榄镇联丰乐丰南路138号之1的地块（以下简称“标的地块”），已完成办理“自建排水设施与公共排水设施接驳业务”，接驳至乐丰南路。但标的地块与乐丰南路之间相隔中山榄菊日化实业有限公司的地块（以下简称“榄菊地块”），根据水务主管部门要求，标的地块内的雨水及污水管网只能通过接入榄菊地块原有合流管网，方可接驳至乐丰南路。榄菊公司现已规划园区整体改建，并向水务主管部门承诺完成园区改造后3个月内，按自建排水设施与公共排水设施接驳的要求完成榄菊地块的雨水及污水管网工程，并接通标的地块、榄菊地块与乐丰南路的排水管网，保证全线（包括标的地块、榄菊地块的管网工程施工及接驳）符合自建排水设施与公共排水设施接驳的要求。标的地块旁暂没有单独的市政道路</w:t>
      </w:r>
      <w:r>
        <w:rPr>
          <w:rFonts w:hint="eastAsia" w:ascii="宋体" w:hAnsi="宋体"/>
          <w:b/>
          <w:bCs/>
          <w:color w:val="auto"/>
          <w:sz w:val="24"/>
          <w:highlight w:val="none"/>
          <w:lang w:val="en-US" w:eastAsia="zh-CN"/>
        </w:rPr>
        <w:t>。</w:t>
      </w:r>
    </w:p>
    <w:p>
      <w:pPr>
        <w:snapToGrid w:val="0"/>
        <w:spacing w:line="560" w:lineRule="exact"/>
        <w:ind w:firstLine="482" w:firstLineChars="200"/>
        <w:rPr>
          <w:rFonts w:hint="eastAsia" w:ascii="宋体" w:hAnsi="宋体"/>
          <w:b/>
          <w:bCs/>
          <w:color w:val="auto"/>
          <w:sz w:val="24"/>
          <w:highlight w:val="none"/>
        </w:rPr>
      </w:pP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4</w:t>
      </w:r>
      <w:r>
        <w:rPr>
          <w:rFonts w:hint="eastAsia" w:ascii="宋体" w:hAnsi="宋体"/>
          <w:b/>
          <w:bCs/>
          <w:color w:val="auto"/>
          <w:sz w:val="24"/>
          <w:highlight w:val="none"/>
          <w:lang w:eastAsia="zh-CN"/>
        </w:rPr>
        <w:t>）</w:t>
      </w:r>
      <w:r>
        <w:rPr>
          <w:rFonts w:hint="eastAsia" w:ascii="宋体" w:hAnsi="宋体"/>
          <w:b/>
          <w:bCs/>
          <w:color w:val="auto"/>
          <w:sz w:val="24"/>
          <w:highlight w:val="none"/>
        </w:rPr>
        <w:t>标的地块</w:t>
      </w:r>
      <w:r>
        <w:rPr>
          <w:rFonts w:hint="eastAsia" w:ascii="宋体" w:hAnsi="宋体"/>
          <w:b/>
          <w:bCs/>
          <w:color w:val="auto"/>
          <w:sz w:val="24"/>
          <w:highlight w:val="none"/>
          <w:lang w:val="en-US" w:eastAsia="zh-CN"/>
        </w:rPr>
        <w:t>曾</w:t>
      </w:r>
      <w:r>
        <w:rPr>
          <w:rFonts w:hint="eastAsia" w:ascii="宋体" w:hAnsi="宋体"/>
          <w:b/>
          <w:bCs/>
          <w:color w:val="auto"/>
          <w:sz w:val="24"/>
          <w:highlight w:val="none"/>
        </w:rPr>
        <w:t>出租给中山榄菊日化实业有限公司，租赁期限至2022年4月30日</w:t>
      </w:r>
      <w:r>
        <w:rPr>
          <w:rFonts w:hint="eastAsia" w:ascii="宋体" w:hAnsi="宋体"/>
          <w:b/>
          <w:bCs/>
          <w:color w:val="auto"/>
          <w:sz w:val="24"/>
          <w:highlight w:val="none"/>
          <w:lang w:eastAsia="zh-CN"/>
        </w:rPr>
        <w:t>。</w:t>
      </w:r>
      <w:r>
        <w:rPr>
          <w:rFonts w:hint="eastAsia" w:ascii="宋体" w:hAnsi="宋体"/>
          <w:b/>
          <w:bCs/>
          <w:color w:val="auto"/>
          <w:sz w:val="24"/>
          <w:highlight w:val="none"/>
        </w:rPr>
        <w:t>中山榄菊日化实业有限公司</w:t>
      </w:r>
      <w:r>
        <w:rPr>
          <w:rFonts w:hint="eastAsia" w:ascii="宋体" w:hAnsi="宋体"/>
          <w:b/>
          <w:bCs/>
          <w:color w:val="auto"/>
          <w:sz w:val="24"/>
          <w:highlight w:val="none"/>
          <w:lang w:val="en-US" w:eastAsia="zh-CN"/>
        </w:rPr>
        <w:t>现仍占用标的地块，并承诺将于本项目完成后（以成交公示最后一日的次日起）3个月内完成搬迁</w:t>
      </w:r>
      <w:r>
        <w:rPr>
          <w:rFonts w:hint="eastAsia" w:ascii="宋体" w:hAnsi="宋体"/>
          <w:b/>
          <w:bCs/>
          <w:color w:val="auto"/>
          <w:sz w:val="24"/>
          <w:highlight w:val="none"/>
        </w:rPr>
        <w:t>。标的地块现存在有临建物业（详见房产测量图）。乙方须于2023年12月31日前完成临建物业的拆除、清理工作，并全程拍照形成纸质记录，提交给甲方或当地税务部门。</w:t>
      </w:r>
    </w:p>
    <w:p>
      <w:pPr>
        <w:snapToGrid w:val="0"/>
        <w:spacing w:line="560" w:lineRule="exact"/>
        <w:ind w:firstLine="482" w:firstLineChars="200"/>
        <w:rPr>
          <w:rFonts w:hint="eastAsia" w:ascii="宋体" w:hAnsi="宋体"/>
          <w:b/>
          <w:bCs/>
          <w:color w:val="auto"/>
          <w:sz w:val="24"/>
          <w:highlight w:val="none"/>
        </w:rPr>
      </w:pP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5</w:t>
      </w:r>
      <w:r>
        <w:rPr>
          <w:rFonts w:hint="eastAsia" w:ascii="宋体" w:hAnsi="宋体"/>
          <w:b/>
          <w:bCs/>
          <w:color w:val="auto"/>
          <w:sz w:val="24"/>
          <w:highlight w:val="none"/>
          <w:lang w:eastAsia="zh-CN"/>
        </w:rPr>
        <w:t>）</w:t>
      </w:r>
      <w:r>
        <w:rPr>
          <w:rFonts w:hint="eastAsia" w:ascii="宋体" w:hAnsi="宋体"/>
          <w:b/>
          <w:bCs/>
          <w:color w:val="auto"/>
          <w:sz w:val="24"/>
          <w:highlight w:val="none"/>
        </w:rPr>
        <w:t>甲方已于2022年4月14日以作价入股方式将标的地块转让到标的企业名下时，根据现行相关政策，相关部门暂不征土地增值税。倘若日后需缴纳（</w:t>
      </w:r>
      <w:r>
        <w:rPr>
          <w:rFonts w:hint="eastAsia" w:ascii="宋体" w:hAnsi="宋体"/>
          <w:b/>
          <w:bCs/>
          <w:color w:val="auto"/>
          <w:sz w:val="24"/>
          <w:highlight w:val="none"/>
          <w:lang w:val="en-US" w:eastAsia="zh-CN"/>
        </w:rPr>
        <w:t>含</w:t>
      </w:r>
      <w:r>
        <w:rPr>
          <w:rFonts w:hint="eastAsia" w:ascii="宋体" w:hAnsi="宋体"/>
          <w:b/>
          <w:bCs/>
          <w:color w:val="auto"/>
          <w:sz w:val="24"/>
          <w:highlight w:val="none"/>
        </w:rPr>
        <w:t>补缴</w:t>
      </w: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下同</w:t>
      </w:r>
      <w:r>
        <w:rPr>
          <w:rFonts w:hint="eastAsia" w:ascii="宋体" w:hAnsi="宋体"/>
          <w:b/>
          <w:bCs/>
          <w:color w:val="auto"/>
          <w:sz w:val="24"/>
          <w:highlight w:val="none"/>
        </w:rPr>
        <w:t>）相关税费的（包括但不限于前述土地增值税），相关缴纳责任概由乙方承担</w:t>
      </w:r>
      <w:r>
        <w:rPr>
          <w:rFonts w:hint="eastAsia" w:ascii="宋体" w:hAnsi="宋体"/>
          <w:b/>
          <w:bCs/>
          <w:color w:val="auto"/>
          <w:sz w:val="24"/>
          <w:highlight w:val="none"/>
          <w:lang w:eastAsia="zh-CN"/>
        </w:rPr>
        <w:t>；</w:t>
      </w:r>
      <w:r>
        <w:rPr>
          <w:rFonts w:hint="eastAsia" w:ascii="宋体" w:hAnsi="宋体"/>
          <w:b/>
          <w:bCs/>
          <w:color w:val="auto"/>
          <w:sz w:val="24"/>
          <w:highlight w:val="none"/>
        </w:rPr>
        <w:t>届时税务部门要求以甲方为缴纳主体的，乙方应于甲方缴纳后7个工作日内向甲方返还甲方缴纳的税费。</w:t>
      </w:r>
    </w:p>
    <w:p>
      <w:pPr>
        <w:snapToGrid w:val="0"/>
        <w:spacing w:line="560" w:lineRule="exact"/>
        <w:ind w:firstLine="482" w:firstLineChars="200"/>
        <w:rPr>
          <w:rFonts w:hint="eastAsia" w:ascii="宋体" w:hAnsi="宋体"/>
          <w:b/>
          <w:bCs/>
          <w:color w:val="auto"/>
          <w:sz w:val="24"/>
          <w:highlight w:val="none"/>
        </w:rPr>
      </w:pPr>
      <w:bookmarkStart w:id="184" w:name="_GoBack"/>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6）</w:t>
      </w:r>
      <w:r>
        <w:rPr>
          <w:rFonts w:hint="eastAsia" w:ascii="宋体" w:hAnsi="宋体"/>
          <w:b/>
          <w:bCs/>
          <w:color w:val="auto"/>
          <w:sz w:val="24"/>
          <w:highlight w:val="none"/>
        </w:rPr>
        <w:t>甲方曾就标的地块与相关监理、设计、造价咨询、建设等单位及承租方分别签订了《建设工程委托监理合同》、《建设工程设计合同》、《建设工程造价咨询合同》、《建设工程施工合同》、租赁合同，标的地块作价入股到标的企业名下后，甲方在上述合同的权利义务由标的企业承接；甲方、标的企业、合同相对方已经签订相关合同的概括转让协议。</w:t>
      </w:r>
    </w:p>
    <w:p>
      <w:pPr>
        <w:snapToGrid w:val="0"/>
        <w:spacing w:line="560" w:lineRule="exact"/>
        <w:ind w:firstLine="482" w:firstLineChars="200"/>
        <w:rPr>
          <w:rFonts w:ascii="宋体" w:hAnsi="宋体"/>
          <w:color w:val="auto"/>
          <w:sz w:val="24"/>
          <w:highlight w:val="none"/>
        </w:rPr>
      </w:pP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7</w:t>
      </w:r>
      <w:r>
        <w:rPr>
          <w:rFonts w:hint="eastAsia" w:ascii="宋体" w:hAnsi="宋体"/>
          <w:b/>
          <w:bCs/>
          <w:color w:val="auto"/>
          <w:sz w:val="24"/>
          <w:highlight w:val="none"/>
          <w:lang w:eastAsia="zh-CN"/>
        </w:rPr>
        <w:t>）</w:t>
      </w:r>
      <w:r>
        <w:rPr>
          <w:rFonts w:hint="eastAsia" w:ascii="宋体" w:hAnsi="宋体"/>
          <w:b/>
          <w:bCs/>
          <w:color w:val="auto"/>
          <w:sz w:val="24"/>
          <w:highlight w:val="none"/>
        </w:rPr>
        <w:t>甲方已投入资金对标的地块进行建设，乙方应承担甲方相关基建投入的资金占用成本。因此，乙方需于标的企业股权工商变更登记完成之日起7个工作日内，向甲方支付股权转让作价入股基准日（即2022年3月8日）至标的交割日（即工商变更日）期间地块基建成本对应的利息（利息=50,529,161.05元×年利率4.35%×期间自然日天数×1.06）。乙方签订本合同的，视为同意支付该利息。甲方收到上述利息后7个工作日内，向乙方开具收据。</w:t>
      </w:r>
    </w:p>
    <w:bookmarkEnd w:id="184"/>
    <w:p>
      <w:pPr>
        <w:spacing w:line="560" w:lineRule="exact"/>
        <w:ind w:firstLine="723" w:firstLineChars="300"/>
        <w:rPr>
          <w:rFonts w:ascii="宋体" w:hAnsi="宋体"/>
          <w:b/>
          <w:color w:val="auto"/>
          <w:sz w:val="24"/>
        </w:rPr>
      </w:pPr>
      <w:r>
        <w:rPr>
          <w:rFonts w:hint="eastAsia" w:ascii="宋体" w:hAnsi="宋体"/>
          <w:b/>
          <w:color w:val="auto"/>
          <w:sz w:val="24"/>
        </w:rPr>
        <w:t>第十一条  违约责任</w:t>
      </w:r>
    </w:p>
    <w:p>
      <w:pPr>
        <w:snapToGrid w:val="0"/>
        <w:spacing w:line="560" w:lineRule="exact"/>
        <w:ind w:firstLine="567"/>
        <w:rPr>
          <w:rFonts w:ascii="宋体" w:hAnsi="宋体"/>
          <w:color w:val="auto"/>
          <w:sz w:val="24"/>
        </w:rPr>
      </w:pPr>
      <w:r>
        <w:rPr>
          <w:rFonts w:hint="eastAsia" w:ascii="宋体" w:hAnsi="宋体"/>
          <w:color w:val="auto"/>
          <w:sz w:val="24"/>
        </w:rPr>
        <w:t>本合同任何一方不履行或不完全履行本合同所规定的义务，或在本合同或与本合同有关的文件中向另一方作出的承诺与保证或提交的有关文件、资料或信息被证明为虚假、不准确、有遗漏或有误导，即构成违约。</w:t>
      </w:r>
    </w:p>
    <w:p>
      <w:pPr>
        <w:snapToGrid w:val="0"/>
        <w:spacing w:line="560" w:lineRule="exact"/>
        <w:ind w:firstLine="567"/>
        <w:rPr>
          <w:rFonts w:ascii="宋体" w:hAnsi="宋体"/>
          <w:color w:val="auto"/>
          <w:sz w:val="24"/>
        </w:rPr>
      </w:pPr>
      <w:r>
        <w:rPr>
          <w:rFonts w:hint="eastAsia" w:ascii="宋体" w:hAnsi="宋体"/>
          <w:color w:val="auto"/>
          <w:sz w:val="24"/>
        </w:rPr>
        <w:t>1. 任何一方违约，守约方有权追究违约方违约责任，有权采取如下一种或多种措施以维护其权利：</w:t>
      </w:r>
    </w:p>
    <w:p>
      <w:pPr>
        <w:snapToGrid w:val="0"/>
        <w:spacing w:line="560" w:lineRule="exact"/>
        <w:ind w:firstLine="567"/>
        <w:rPr>
          <w:rFonts w:ascii="宋体" w:hAnsi="宋体"/>
          <w:color w:val="auto"/>
          <w:sz w:val="24"/>
        </w:rPr>
      </w:pPr>
      <w:r>
        <w:rPr>
          <w:rFonts w:hint="eastAsia" w:ascii="宋体" w:hAnsi="宋体"/>
          <w:color w:val="auto"/>
          <w:sz w:val="24"/>
        </w:rPr>
        <w:t>（1）要求违约方实际履行；</w:t>
      </w:r>
    </w:p>
    <w:p>
      <w:pPr>
        <w:snapToGrid w:val="0"/>
        <w:spacing w:line="560" w:lineRule="exact"/>
        <w:ind w:firstLine="567"/>
        <w:rPr>
          <w:rFonts w:ascii="宋体" w:hAnsi="宋体"/>
          <w:color w:val="auto"/>
          <w:sz w:val="24"/>
        </w:rPr>
      </w:pPr>
      <w:r>
        <w:rPr>
          <w:rFonts w:hint="eastAsia" w:ascii="宋体" w:hAnsi="宋体"/>
          <w:color w:val="auto"/>
          <w:sz w:val="24"/>
        </w:rPr>
        <w:t>（2）暂停履行义务，待违约方违约情势消除后恢复履行；守约方根据此款规定暂停履行义务不构成守约方不履行或迟延履行义务；</w:t>
      </w:r>
    </w:p>
    <w:p>
      <w:pPr>
        <w:snapToGrid w:val="0"/>
        <w:spacing w:line="560" w:lineRule="exact"/>
        <w:ind w:firstLine="567"/>
        <w:rPr>
          <w:rFonts w:ascii="宋体" w:hAnsi="宋体"/>
          <w:color w:val="auto"/>
          <w:sz w:val="24"/>
        </w:rPr>
      </w:pPr>
      <w:r>
        <w:rPr>
          <w:rFonts w:hint="eastAsia" w:ascii="宋体" w:hAnsi="宋体"/>
          <w:color w:val="auto"/>
          <w:sz w:val="24"/>
        </w:rPr>
        <w:t>（3）要求违约方赔偿守约方因其违约行为而遭受的所有损失(包括为避免损失而支出的合理费用)；</w:t>
      </w:r>
    </w:p>
    <w:p>
      <w:pPr>
        <w:snapToGrid w:val="0"/>
        <w:spacing w:line="560" w:lineRule="exact"/>
        <w:ind w:firstLine="567"/>
        <w:rPr>
          <w:rFonts w:ascii="宋体" w:hAnsi="宋体"/>
          <w:color w:val="auto"/>
          <w:sz w:val="24"/>
        </w:rPr>
      </w:pPr>
      <w:r>
        <w:rPr>
          <w:rFonts w:hint="eastAsia" w:ascii="宋体" w:hAnsi="宋体"/>
          <w:color w:val="auto"/>
          <w:sz w:val="24"/>
        </w:rPr>
        <w:t>（4）违约方因违反本合同所获得的利益应作为赔偿金支付给守约方；</w:t>
      </w:r>
    </w:p>
    <w:p>
      <w:pPr>
        <w:snapToGrid w:val="0"/>
        <w:spacing w:line="560" w:lineRule="exact"/>
        <w:ind w:firstLine="567"/>
        <w:rPr>
          <w:rFonts w:ascii="宋体" w:hAnsi="宋体"/>
          <w:color w:val="auto"/>
          <w:sz w:val="24"/>
        </w:rPr>
      </w:pPr>
      <w:r>
        <w:rPr>
          <w:rFonts w:hint="eastAsia" w:ascii="宋体" w:hAnsi="宋体"/>
          <w:color w:val="auto"/>
          <w:sz w:val="24"/>
        </w:rPr>
        <w:t>（5）法律法规或本合同规定的其他救济方式。</w:t>
      </w:r>
    </w:p>
    <w:p>
      <w:pPr>
        <w:spacing w:line="560" w:lineRule="exact"/>
        <w:ind w:firstLine="480" w:firstLineChars="200"/>
        <w:rPr>
          <w:rFonts w:ascii="宋体" w:hAnsi="宋体"/>
          <w:color w:val="auto"/>
          <w:sz w:val="24"/>
        </w:rPr>
      </w:pPr>
      <w:r>
        <w:rPr>
          <w:rFonts w:hint="eastAsia" w:ascii="宋体" w:hAnsi="宋体"/>
          <w:color w:val="auto"/>
          <w:sz w:val="24"/>
        </w:rPr>
        <w:t>2. 乙方未按合同约定期限支付交易价款的，应向甲方支付逾期付款违约金。违约金按照延迟支付期间应付价款的每日万分之</w:t>
      </w:r>
      <w:r>
        <w:rPr>
          <w:rFonts w:hint="eastAsia" w:ascii="宋体" w:hAnsi="宋体"/>
          <w:color w:val="auto"/>
          <w:sz w:val="24"/>
          <w:u w:val="single"/>
        </w:rPr>
        <w:t>四</w:t>
      </w:r>
      <w:r>
        <w:rPr>
          <w:rFonts w:hint="eastAsia" w:ascii="宋体" w:hAnsi="宋体"/>
          <w:color w:val="auto"/>
          <w:sz w:val="24"/>
        </w:rPr>
        <w:t>计算。逾期付款超过</w:t>
      </w:r>
      <w:r>
        <w:rPr>
          <w:rFonts w:hint="eastAsia" w:ascii="宋体" w:hAnsi="宋体"/>
          <w:color w:val="auto"/>
          <w:sz w:val="24"/>
          <w:u w:val="single"/>
        </w:rPr>
        <w:t>30</w:t>
      </w:r>
      <w:r>
        <w:rPr>
          <w:rFonts w:hint="eastAsia" w:ascii="宋体" w:hAnsi="宋体"/>
          <w:color w:val="auto"/>
          <w:sz w:val="24"/>
        </w:rPr>
        <w:t>日，甲方要求乙方按照本合同交易价款的</w:t>
      </w:r>
      <w:r>
        <w:rPr>
          <w:rFonts w:hint="eastAsia" w:ascii="宋体" w:hAnsi="宋体"/>
          <w:color w:val="auto"/>
          <w:sz w:val="24"/>
          <w:u w:val="single"/>
        </w:rPr>
        <w:t>30</w:t>
      </w:r>
      <w:r>
        <w:rPr>
          <w:rFonts w:hint="eastAsia" w:ascii="宋体" w:hAnsi="宋体"/>
          <w:color w:val="auto"/>
          <w:sz w:val="24"/>
        </w:rPr>
        <w:t>%承担违约责任，并要求乙方承担甲方及标的企业因此遭受的损失，甲方有权解除合同。乙方已交纳的保证金不予退还，在优先抵扣乙方应支付珠海产权交易中心的各项服务费用后由珠海产权交易中心直接划转甲方用于偿付前述违约金及甲方的损失。</w:t>
      </w:r>
    </w:p>
    <w:p>
      <w:pPr>
        <w:spacing w:line="560" w:lineRule="exact"/>
        <w:ind w:firstLine="537" w:firstLineChars="224"/>
        <w:rPr>
          <w:rFonts w:ascii="宋体" w:hAnsi="宋体"/>
          <w:color w:val="auto"/>
          <w:sz w:val="24"/>
        </w:rPr>
      </w:pPr>
      <w:r>
        <w:rPr>
          <w:rFonts w:hint="eastAsia" w:ascii="宋体" w:hAnsi="宋体"/>
          <w:color w:val="auto"/>
          <w:sz w:val="24"/>
        </w:rPr>
        <w:t>3. 甲方或乙方未按本合同约定办理工商变更、交割转让标的的，守约方有权要求违约方按照本合同交易价款的</w:t>
      </w:r>
      <w:r>
        <w:rPr>
          <w:rFonts w:hint="eastAsia" w:ascii="宋体" w:hAnsi="宋体"/>
          <w:color w:val="auto"/>
          <w:sz w:val="24"/>
          <w:u w:val="single"/>
        </w:rPr>
        <w:t>30</w:t>
      </w:r>
      <w:r>
        <w:rPr>
          <w:rFonts w:hint="eastAsia" w:ascii="宋体" w:hAnsi="宋体"/>
          <w:color w:val="auto"/>
          <w:sz w:val="24"/>
        </w:rPr>
        <w:t>%向守约方支付违约金，并有权解除本合同。</w:t>
      </w:r>
    </w:p>
    <w:p>
      <w:pPr>
        <w:spacing w:line="560" w:lineRule="exact"/>
        <w:ind w:firstLine="537" w:firstLineChars="224"/>
        <w:rPr>
          <w:rFonts w:ascii="宋体" w:hAnsi="宋体"/>
          <w:color w:val="auto"/>
          <w:sz w:val="24"/>
        </w:rPr>
      </w:pPr>
      <w:r>
        <w:rPr>
          <w:rFonts w:hint="eastAsia" w:ascii="宋体" w:hAnsi="宋体"/>
          <w:color w:val="auto"/>
          <w:sz w:val="24"/>
        </w:rPr>
        <w:t>4. 标的企业的资产、债务等存在重大事项未披露或存在遗漏，对标的企业可能造成重大不利影响，或可能影响产权转让价格的，乙方要求甲方按照本合同交易价款的</w:t>
      </w:r>
      <w:r>
        <w:rPr>
          <w:rFonts w:hint="eastAsia" w:ascii="宋体" w:hAnsi="宋体"/>
          <w:color w:val="auto"/>
          <w:sz w:val="24"/>
          <w:u w:val="single"/>
        </w:rPr>
        <w:t>30</w:t>
      </w:r>
      <w:r>
        <w:rPr>
          <w:rFonts w:hint="eastAsia" w:ascii="宋体" w:hAnsi="宋体"/>
          <w:color w:val="auto"/>
          <w:sz w:val="24"/>
        </w:rPr>
        <w:t>%承担违约责任，并有权解除合同。如违约金不足以弥补乙方损失的，乙方有权要求甲方就有关事项另行进行追偿。</w:t>
      </w:r>
      <w:bookmarkStart w:id="136" w:name="_Toc16241"/>
      <w:bookmarkStart w:id="137" w:name="_Toc31723"/>
      <w:bookmarkStart w:id="138" w:name="_Toc26649"/>
      <w:bookmarkStart w:id="139" w:name="_Toc22512"/>
      <w:bookmarkStart w:id="140" w:name="_Toc6956"/>
      <w:bookmarkStart w:id="141" w:name="_Toc30471"/>
      <w:bookmarkStart w:id="142" w:name="_Toc18802"/>
      <w:bookmarkStart w:id="143" w:name="_Toc17286"/>
      <w:bookmarkStart w:id="144" w:name="_Toc25438"/>
      <w:bookmarkStart w:id="145" w:name="_Toc26245"/>
      <w:bookmarkStart w:id="146" w:name="_Toc15240"/>
      <w:bookmarkStart w:id="147" w:name="_Toc22576"/>
    </w:p>
    <w:p>
      <w:pPr>
        <w:spacing w:line="560" w:lineRule="exact"/>
        <w:ind w:firstLine="540" w:firstLineChars="224"/>
        <w:rPr>
          <w:rFonts w:ascii="宋体" w:hAnsi="宋体"/>
          <w:b/>
          <w:bCs/>
          <w:color w:val="auto"/>
          <w:sz w:val="24"/>
          <w:szCs w:val="22"/>
        </w:rPr>
      </w:pPr>
      <w:r>
        <w:rPr>
          <w:rFonts w:hint="eastAsia" w:ascii="宋体" w:hAnsi="宋体"/>
          <w:b/>
          <w:bCs/>
          <w:color w:val="auto"/>
          <w:sz w:val="24"/>
          <w:szCs w:val="22"/>
        </w:rPr>
        <w:t>第十二条  合同的变更和解除</w:t>
      </w:r>
      <w:bookmarkEnd w:id="136"/>
      <w:bookmarkEnd w:id="137"/>
      <w:bookmarkEnd w:id="138"/>
      <w:bookmarkEnd w:id="139"/>
      <w:bookmarkEnd w:id="140"/>
      <w:bookmarkEnd w:id="141"/>
      <w:bookmarkEnd w:id="142"/>
      <w:bookmarkEnd w:id="143"/>
      <w:bookmarkEnd w:id="144"/>
      <w:bookmarkEnd w:id="145"/>
      <w:bookmarkEnd w:id="146"/>
      <w:bookmarkEnd w:id="147"/>
    </w:p>
    <w:p>
      <w:pPr>
        <w:snapToGrid w:val="0"/>
        <w:spacing w:line="560" w:lineRule="exact"/>
        <w:ind w:firstLine="567"/>
        <w:rPr>
          <w:rFonts w:ascii="宋体" w:hAnsi="宋体"/>
          <w:color w:val="auto"/>
          <w:sz w:val="24"/>
        </w:rPr>
      </w:pPr>
      <w:r>
        <w:rPr>
          <w:rFonts w:hint="eastAsia" w:ascii="宋体" w:hAnsi="宋体"/>
          <w:color w:val="auto"/>
          <w:sz w:val="24"/>
        </w:rPr>
        <w:t>发生下列情形的，可以变更或解除合同：</w:t>
      </w:r>
    </w:p>
    <w:p>
      <w:pPr>
        <w:snapToGrid w:val="0"/>
        <w:spacing w:line="560" w:lineRule="exact"/>
        <w:ind w:firstLine="567"/>
        <w:rPr>
          <w:rFonts w:ascii="宋体" w:hAnsi="宋体"/>
          <w:color w:val="auto"/>
          <w:sz w:val="24"/>
        </w:rPr>
      </w:pPr>
      <w:r>
        <w:rPr>
          <w:rFonts w:hint="eastAsia" w:ascii="宋体" w:hAnsi="宋体"/>
          <w:color w:val="auto"/>
          <w:sz w:val="24"/>
        </w:rPr>
        <w:t>1.因情况发生变化，双方当事人经过协商同意，且不损害国家和社会公益利益的。</w:t>
      </w:r>
    </w:p>
    <w:p>
      <w:pPr>
        <w:snapToGrid w:val="0"/>
        <w:spacing w:line="560" w:lineRule="exact"/>
        <w:ind w:firstLine="567"/>
        <w:rPr>
          <w:rFonts w:ascii="宋体" w:hAnsi="宋体"/>
          <w:color w:val="auto"/>
          <w:sz w:val="24"/>
        </w:rPr>
      </w:pPr>
      <w:r>
        <w:rPr>
          <w:rFonts w:hint="eastAsia" w:ascii="宋体" w:hAnsi="宋体"/>
          <w:color w:val="auto"/>
          <w:sz w:val="24"/>
        </w:rPr>
        <w:t>2.因不可抗力因素致使本合同的全部义务不能履行的。</w:t>
      </w:r>
    </w:p>
    <w:p>
      <w:pPr>
        <w:snapToGrid w:val="0"/>
        <w:spacing w:line="560" w:lineRule="exact"/>
        <w:ind w:firstLine="567"/>
        <w:rPr>
          <w:rFonts w:ascii="宋体" w:hAnsi="宋体"/>
          <w:color w:val="auto"/>
          <w:sz w:val="24"/>
        </w:rPr>
      </w:pPr>
      <w:r>
        <w:rPr>
          <w:rFonts w:hint="eastAsia" w:ascii="宋体" w:hAnsi="宋体"/>
          <w:color w:val="auto"/>
          <w:sz w:val="24"/>
        </w:rPr>
        <w:t>3.因一方当事人在合同约定的期限内，因故没有履行合同，另一方当事人予以认可的。</w:t>
      </w:r>
    </w:p>
    <w:p>
      <w:pPr>
        <w:snapToGrid w:val="0"/>
        <w:spacing w:line="560" w:lineRule="exact"/>
        <w:ind w:firstLine="567"/>
        <w:rPr>
          <w:rFonts w:ascii="宋体" w:hAnsi="宋体"/>
          <w:color w:val="auto"/>
          <w:sz w:val="24"/>
        </w:rPr>
      </w:pPr>
      <w:r>
        <w:rPr>
          <w:rFonts w:hint="eastAsia" w:ascii="宋体" w:hAnsi="宋体"/>
          <w:color w:val="auto"/>
          <w:sz w:val="24"/>
        </w:rPr>
        <w:t>4.因本合同中约定的变更或解除合同的情况出现的。</w:t>
      </w:r>
    </w:p>
    <w:p>
      <w:pPr>
        <w:snapToGrid w:val="0"/>
        <w:spacing w:line="560" w:lineRule="exact"/>
        <w:ind w:firstLine="567"/>
        <w:rPr>
          <w:rFonts w:ascii="宋体" w:hAnsi="宋体"/>
          <w:color w:val="auto"/>
          <w:sz w:val="24"/>
        </w:rPr>
      </w:pPr>
      <w:r>
        <w:rPr>
          <w:rFonts w:hint="eastAsia" w:ascii="宋体" w:hAnsi="宋体"/>
          <w:color w:val="auto"/>
          <w:sz w:val="24"/>
        </w:rPr>
        <w:t>5.其他法律法规规定的变更或解除情形出现的。</w:t>
      </w:r>
    </w:p>
    <w:p>
      <w:pPr>
        <w:snapToGrid w:val="0"/>
        <w:spacing w:line="560" w:lineRule="exact"/>
        <w:ind w:firstLine="567"/>
        <w:rPr>
          <w:rFonts w:ascii="宋体" w:hAnsi="宋体"/>
          <w:color w:val="auto"/>
          <w:sz w:val="24"/>
        </w:rPr>
      </w:pPr>
      <w:r>
        <w:rPr>
          <w:rFonts w:hint="eastAsia" w:ascii="宋体" w:hAnsi="宋体"/>
          <w:color w:val="auto"/>
          <w:sz w:val="24"/>
        </w:rPr>
        <w:t>本合同需变更或解除，甲、乙双方必须签订变更或解除合同的协议，并报珠海产权交易中心留存。</w:t>
      </w:r>
      <w:bookmarkStart w:id="148" w:name="_Toc10328"/>
      <w:bookmarkStart w:id="149" w:name="_Toc8770"/>
      <w:bookmarkStart w:id="150" w:name="_Toc9489"/>
      <w:bookmarkStart w:id="151" w:name="_Toc26300"/>
      <w:bookmarkStart w:id="152" w:name="_Toc27765"/>
      <w:bookmarkStart w:id="153" w:name="_Toc9782"/>
      <w:bookmarkStart w:id="154" w:name="_Toc10385"/>
      <w:bookmarkStart w:id="155" w:name="_Toc19813"/>
      <w:bookmarkStart w:id="156" w:name="_Toc22129"/>
      <w:bookmarkStart w:id="157" w:name="_Toc8456"/>
      <w:bookmarkStart w:id="158" w:name="_Toc25036"/>
      <w:bookmarkStart w:id="159" w:name="_Toc7998"/>
    </w:p>
    <w:p>
      <w:pPr>
        <w:snapToGrid w:val="0"/>
        <w:spacing w:line="560" w:lineRule="exact"/>
        <w:ind w:firstLine="567"/>
        <w:rPr>
          <w:rFonts w:ascii="宋体" w:hAnsi="宋体"/>
          <w:b/>
          <w:bCs/>
          <w:color w:val="auto"/>
          <w:sz w:val="24"/>
          <w:szCs w:val="22"/>
        </w:rPr>
      </w:pPr>
      <w:r>
        <w:rPr>
          <w:rFonts w:hint="eastAsia" w:ascii="宋体" w:hAnsi="宋体"/>
          <w:b/>
          <w:bCs/>
          <w:color w:val="auto"/>
          <w:sz w:val="24"/>
          <w:szCs w:val="22"/>
        </w:rPr>
        <w:t>第十三条  争议的解决方式</w:t>
      </w:r>
      <w:bookmarkEnd w:id="148"/>
      <w:bookmarkEnd w:id="149"/>
      <w:bookmarkEnd w:id="150"/>
      <w:bookmarkEnd w:id="151"/>
      <w:bookmarkEnd w:id="152"/>
      <w:bookmarkEnd w:id="153"/>
      <w:bookmarkEnd w:id="154"/>
      <w:bookmarkEnd w:id="155"/>
      <w:bookmarkEnd w:id="156"/>
      <w:bookmarkEnd w:id="157"/>
      <w:bookmarkEnd w:id="158"/>
      <w:bookmarkEnd w:id="159"/>
    </w:p>
    <w:p>
      <w:pPr>
        <w:spacing w:line="560" w:lineRule="exact"/>
        <w:ind w:firstLine="420"/>
        <w:rPr>
          <w:rFonts w:ascii="宋体" w:hAnsi="宋体"/>
          <w:color w:val="auto"/>
          <w:sz w:val="24"/>
        </w:rPr>
      </w:pPr>
      <w:r>
        <w:rPr>
          <w:rFonts w:hint="eastAsia" w:ascii="宋体" w:hAnsi="宋体"/>
          <w:color w:val="auto"/>
          <w:sz w:val="24"/>
        </w:rPr>
        <w:t xml:space="preserve"> 1. 本合同及产权交易中的行为均适用中华人民共和国法律。</w:t>
      </w:r>
    </w:p>
    <w:p>
      <w:pPr>
        <w:spacing w:line="560" w:lineRule="exact"/>
        <w:ind w:firstLine="540" w:firstLineChars="225"/>
        <w:rPr>
          <w:rFonts w:hint="eastAsia" w:ascii="宋体" w:hAnsi="宋体"/>
          <w:color w:val="auto"/>
          <w:sz w:val="24"/>
        </w:rPr>
      </w:pPr>
      <w:r>
        <w:rPr>
          <w:rFonts w:hint="eastAsia" w:ascii="宋体" w:hAnsi="宋体"/>
          <w:color w:val="auto"/>
          <w:sz w:val="24"/>
        </w:rPr>
        <w:t>2. 因本合同引起或者与本合同有关的任何争议，应由双方协商解决；协商解决不成的，依法向</w:t>
      </w:r>
      <w:r>
        <w:rPr>
          <w:rFonts w:hint="eastAsia" w:ascii="宋体" w:hAnsi="宋体"/>
          <w:color w:val="auto"/>
          <w:sz w:val="24"/>
          <w:u w:val="single"/>
        </w:rPr>
        <w:t xml:space="preserve">中山市第二 </w:t>
      </w:r>
      <w:r>
        <w:rPr>
          <w:rFonts w:hint="eastAsia" w:ascii="宋体" w:hAnsi="宋体"/>
          <w:color w:val="auto"/>
          <w:sz w:val="24"/>
        </w:rPr>
        <w:t>人民法院起诉。</w:t>
      </w:r>
      <w:bookmarkStart w:id="160" w:name="_Toc7992"/>
      <w:bookmarkStart w:id="161" w:name="_Toc26521"/>
      <w:bookmarkStart w:id="162" w:name="_Toc18741"/>
      <w:bookmarkStart w:id="163" w:name="_Toc32156"/>
      <w:bookmarkStart w:id="164" w:name="_Toc17730"/>
      <w:bookmarkStart w:id="165" w:name="_Toc28988"/>
      <w:bookmarkStart w:id="166" w:name="_Toc23350"/>
      <w:bookmarkStart w:id="167" w:name="_Toc30268"/>
      <w:bookmarkStart w:id="168" w:name="_Toc19521"/>
      <w:bookmarkStart w:id="169" w:name="_Toc24582"/>
      <w:bookmarkStart w:id="170" w:name="_Toc12989"/>
      <w:bookmarkStart w:id="171" w:name="_Toc18633"/>
      <w:r>
        <w:rPr>
          <w:rFonts w:hint="eastAsia" w:ascii="宋体" w:hAnsi="宋体"/>
          <w:color w:val="auto"/>
          <w:sz w:val="24"/>
        </w:rPr>
        <w:t xml:space="preserve">            </w:t>
      </w:r>
    </w:p>
    <w:p>
      <w:pPr>
        <w:spacing w:line="560" w:lineRule="exact"/>
        <w:ind w:firstLine="542" w:firstLineChars="225"/>
        <w:rPr>
          <w:rFonts w:ascii="宋体" w:hAnsi="宋体"/>
          <w:b/>
          <w:bCs/>
          <w:color w:val="auto"/>
          <w:sz w:val="24"/>
          <w:szCs w:val="22"/>
        </w:rPr>
      </w:pPr>
      <w:r>
        <w:rPr>
          <w:rFonts w:hint="eastAsia" w:ascii="宋体" w:hAnsi="宋体"/>
          <w:b/>
          <w:bCs/>
          <w:color w:val="auto"/>
          <w:sz w:val="24"/>
          <w:szCs w:val="22"/>
        </w:rPr>
        <w:t>第十四条 合同的生效</w:t>
      </w:r>
      <w:bookmarkEnd w:id="160"/>
      <w:bookmarkEnd w:id="161"/>
      <w:bookmarkEnd w:id="162"/>
      <w:bookmarkEnd w:id="163"/>
      <w:bookmarkEnd w:id="164"/>
      <w:bookmarkEnd w:id="165"/>
      <w:bookmarkEnd w:id="166"/>
      <w:bookmarkEnd w:id="167"/>
      <w:bookmarkEnd w:id="168"/>
      <w:bookmarkEnd w:id="169"/>
      <w:bookmarkEnd w:id="170"/>
      <w:bookmarkEnd w:id="171"/>
    </w:p>
    <w:p>
      <w:pPr>
        <w:spacing w:line="560" w:lineRule="exact"/>
        <w:ind w:firstLine="480" w:firstLineChars="200"/>
        <w:rPr>
          <w:rFonts w:ascii="宋体" w:hAnsi="宋体"/>
          <w:color w:val="auto"/>
          <w:sz w:val="24"/>
        </w:rPr>
      </w:pPr>
      <w:r>
        <w:rPr>
          <w:rFonts w:hint="eastAsia" w:ascii="宋体" w:hAnsi="宋体"/>
          <w:color w:val="auto"/>
          <w:sz w:val="24"/>
        </w:rPr>
        <w:t>1.本合同自甲乙双方签订之日起生效。</w:t>
      </w:r>
    </w:p>
    <w:p>
      <w:pPr>
        <w:spacing w:line="560" w:lineRule="exact"/>
        <w:ind w:firstLine="542" w:firstLineChars="225"/>
        <w:rPr>
          <w:rFonts w:ascii="宋体" w:hAnsi="宋体"/>
          <w:b/>
          <w:bCs/>
          <w:color w:val="auto"/>
          <w:sz w:val="24"/>
          <w:szCs w:val="22"/>
        </w:rPr>
      </w:pPr>
      <w:bookmarkStart w:id="172" w:name="_Toc15733"/>
      <w:bookmarkStart w:id="173" w:name="_Toc2877"/>
      <w:bookmarkStart w:id="174" w:name="_Toc22821"/>
      <w:bookmarkStart w:id="175" w:name="_Toc16906"/>
      <w:bookmarkStart w:id="176" w:name="_Toc29344"/>
      <w:bookmarkStart w:id="177" w:name="_Toc22956"/>
      <w:bookmarkStart w:id="178" w:name="_Toc6832"/>
      <w:bookmarkStart w:id="179" w:name="_Toc17323"/>
      <w:bookmarkStart w:id="180" w:name="_Toc7840"/>
      <w:bookmarkStart w:id="181" w:name="_Toc2730"/>
      <w:bookmarkStart w:id="182" w:name="_Toc7996"/>
      <w:bookmarkStart w:id="183" w:name="_Toc9266"/>
      <w:r>
        <w:rPr>
          <w:rFonts w:hint="eastAsia" w:ascii="宋体" w:hAnsi="宋体"/>
          <w:b/>
          <w:bCs/>
          <w:color w:val="auto"/>
          <w:sz w:val="24"/>
          <w:szCs w:val="22"/>
        </w:rPr>
        <w:t>第十五条  其他</w:t>
      </w:r>
      <w:bookmarkEnd w:id="172"/>
      <w:bookmarkEnd w:id="173"/>
      <w:bookmarkEnd w:id="174"/>
      <w:bookmarkEnd w:id="175"/>
      <w:bookmarkEnd w:id="176"/>
      <w:bookmarkEnd w:id="177"/>
      <w:bookmarkEnd w:id="178"/>
      <w:bookmarkEnd w:id="179"/>
      <w:bookmarkEnd w:id="180"/>
      <w:bookmarkEnd w:id="181"/>
      <w:bookmarkEnd w:id="182"/>
      <w:bookmarkEnd w:id="183"/>
    </w:p>
    <w:p>
      <w:pPr>
        <w:snapToGrid w:val="0"/>
        <w:spacing w:line="560" w:lineRule="exact"/>
        <w:ind w:firstLine="567"/>
        <w:rPr>
          <w:rFonts w:ascii="宋体" w:hAnsi="宋体"/>
          <w:color w:val="auto"/>
          <w:sz w:val="24"/>
        </w:rPr>
      </w:pPr>
      <w:r>
        <w:rPr>
          <w:rFonts w:hint="eastAsia" w:ascii="宋体" w:hAnsi="宋体"/>
          <w:color w:val="auto"/>
          <w:sz w:val="24"/>
        </w:rPr>
        <w:t>1. 甲、乙双方对本合同内容补充应采用书面形式订立，该补充合同与“合同使用须知”、本合同附件以及甲方和乙方向珠海产权交易中心提交的全部交易文件，均作为本合同不可分割的组成部分，与本合同具有同等的法律效力。本合同内容与《转让信息公告》不一致的，以公告内容为准。</w:t>
      </w:r>
    </w:p>
    <w:p>
      <w:pPr>
        <w:spacing w:line="520" w:lineRule="exact"/>
        <w:ind w:firstLine="480" w:firstLineChars="200"/>
        <w:rPr>
          <w:rFonts w:ascii="宋体" w:hAnsi="宋体"/>
          <w:color w:val="auto"/>
          <w:sz w:val="24"/>
        </w:rPr>
      </w:pPr>
      <w:r>
        <w:rPr>
          <w:rFonts w:hint="eastAsia" w:ascii="宋体" w:hAnsi="宋体"/>
          <w:color w:val="auto"/>
          <w:sz w:val="24"/>
        </w:rPr>
        <w:t>2. 本合同壹式</w:t>
      </w:r>
      <w:r>
        <w:rPr>
          <w:rFonts w:hint="eastAsia" w:ascii="宋体" w:hAnsi="宋体"/>
          <w:color w:val="auto"/>
          <w:sz w:val="24"/>
          <w:u w:val="single"/>
          <w:lang w:eastAsia="zh-CN"/>
        </w:rPr>
        <w:t>陆</w:t>
      </w:r>
      <w:r>
        <w:rPr>
          <w:rFonts w:hint="eastAsia" w:ascii="宋体" w:hAnsi="宋体"/>
          <w:color w:val="auto"/>
          <w:sz w:val="24"/>
        </w:rPr>
        <w:t>份，甲、乙双方各执</w:t>
      </w:r>
      <w:r>
        <w:rPr>
          <w:rFonts w:hint="eastAsia" w:ascii="宋体" w:hAnsi="宋体"/>
          <w:color w:val="auto"/>
          <w:sz w:val="24"/>
          <w:u w:val="single"/>
        </w:rPr>
        <w:t xml:space="preserve"> </w:t>
      </w:r>
      <w:r>
        <w:rPr>
          <w:rFonts w:hint="eastAsia" w:ascii="宋体" w:hAnsi="宋体"/>
          <w:color w:val="auto"/>
          <w:sz w:val="24"/>
          <w:u w:val="single"/>
          <w:lang w:eastAsia="zh-CN"/>
        </w:rPr>
        <w:t>贰</w:t>
      </w:r>
      <w:r>
        <w:rPr>
          <w:rFonts w:hint="eastAsia" w:ascii="宋体" w:hAnsi="宋体"/>
          <w:color w:val="auto"/>
          <w:sz w:val="24"/>
        </w:rPr>
        <w:t>份，珠海产权交易中心留存</w:t>
      </w:r>
      <w:r>
        <w:rPr>
          <w:rFonts w:hint="eastAsia" w:ascii="宋体" w:hAnsi="宋体"/>
          <w:color w:val="auto"/>
          <w:sz w:val="24"/>
          <w:u w:val="single"/>
        </w:rPr>
        <w:t>壹</w:t>
      </w:r>
      <w:r>
        <w:rPr>
          <w:rFonts w:hint="eastAsia" w:ascii="宋体" w:hAnsi="宋体"/>
          <w:color w:val="auto"/>
          <w:sz w:val="24"/>
        </w:rPr>
        <w:t>份用于备案，其余用于办理产权交易的审批、登记使用。</w:t>
      </w:r>
    </w:p>
    <w:p>
      <w:pPr>
        <w:snapToGrid w:val="0"/>
        <w:spacing w:line="560" w:lineRule="exact"/>
        <w:ind w:firstLine="567"/>
        <w:rPr>
          <w:rFonts w:ascii="宋体" w:hAnsi="宋体"/>
          <w:color w:val="auto"/>
          <w:sz w:val="24"/>
        </w:rPr>
      </w:pPr>
    </w:p>
    <w:p>
      <w:pPr>
        <w:snapToGrid w:val="0"/>
        <w:spacing w:line="560" w:lineRule="exact"/>
        <w:ind w:firstLine="567"/>
        <w:rPr>
          <w:rFonts w:hint="eastAsia" w:ascii="宋体" w:hAnsi="宋体"/>
          <w:color w:val="auto"/>
          <w:sz w:val="24"/>
          <w:lang w:val="en-US" w:eastAsia="zh-CN"/>
        </w:rPr>
      </w:pPr>
      <w:r>
        <w:rPr>
          <w:rFonts w:hint="eastAsia" w:ascii="宋体" w:hAnsi="宋体"/>
          <w:color w:val="auto"/>
          <w:sz w:val="24"/>
        </w:rPr>
        <w:t>附件：</w:t>
      </w:r>
      <w:r>
        <w:rPr>
          <w:rFonts w:hint="eastAsia" w:ascii="宋体" w:hAnsi="宋体"/>
          <w:color w:val="auto"/>
          <w:sz w:val="24"/>
          <w:lang w:val="en-US" w:eastAsia="zh-CN"/>
        </w:rPr>
        <w:t xml:space="preserve"> </w:t>
      </w:r>
    </w:p>
    <w:p>
      <w:pPr>
        <w:snapToGrid w:val="0"/>
        <w:spacing w:line="560" w:lineRule="exact"/>
        <w:ind w:firstLine="567"/>
        <w:rPr>
          <w:rFonts w:hint="eastAsia" w:ascii="宋体" w:hAnsi="宋体"/>
          <w:color w:val="auto"/>
          <w:sz w:val="24"/>
        </w:rPr>
      </w:pPr>
      <w:r>
        <w:rPr>
          <w:rFonts w:hint="eastAsia" w:ascii="宋体" w:hAnsi="宋体"/>
          <w:b w:val="0"/>
          <w:bCs w:val="0"/>
          <w:color w:val="auto"/>
          <w:sz w:val="24"/>
        </w:rPr>
        <w:t>1.《项目履约监管协议》</w:t>
      </w:r>
    </w:p>
    <w:p>
      <w:pPr>
        <w:snapToGrid w:val="0"/>
        <w:spacing w:line="560" w:lineRule="exact"/>
        <w:ind w:firstLine="567"/>
        <w:rPr>
          <w:rFonts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《转让信息公告》</w:t>
      </w:r>
    </w:p>
    <w:p>
      <w:pPr>
        <w:snapToGrid w:val="0"/>
        <w:spacing w:line="560" w:lineRule="exact"/>
        <w:ind w:firstLine="567"/>
        <w:rPr>
          <w:rFonts w:ascii="宋体" w:hAnsi="宋体"/>
          <w:color w:val="auto"/>
          <w:sz w:val="24"/>
        </w:rPr>
      </w:pPr>
      <w:r>
        <w:rPr>
          <w:rFonts w:hint="eastAsia" w:ascii="宋体" w:hAnsi="宋体"/>
          <w:color w:val="auto"/>
          <w:sz w:val="24"/>
        </w:rPr>
        <w:t xml:space="preserve">     </w:t>
      </w:r>
    </w:p>
    <w:p>
      <w:pPr>
        <w:snapToGrid w:val="0"/>
        <w:spacing w:line="560" w:lineRule="exact"/>
        <w:rPr>
          <w:rFonts w:ascii="宋体" w:hAnsi="宋体"/>
          <w:color w:val="auto"/>
          <w:sz w:val="24"/>
        </w:rPr>
      </w:pPr>
      <w:r>
        <w:rPr>
          <w:rFonts w:hint="eastAsia" w:ascii="宋体" w:hAnsi="宋体"/>
          <w:color w:val="auto"/>
          <w:sz w:val="24"/>
        </w:rPr>
        <w:br w:type="page"/>
      </w:r>
      <w:r>
        <w:rPr>
          <w:rFonts w:hint="eastAsia" w:ascii="宋体" w:hAnsi="宋体"/>
          <w:color w:val="auto"/>
          <w:sz w:val="24"/>
        </w:rPr>
        <w:t>（以下为签署页，无正文）</w:t>
      </w:r>
    </w:p>
    <w:p>
      <w:pPr>
        <w:autoSpaceDE w:val="0"/>
        <w:autoSpaceDN w:val="0"/>
        <w:spacing w:line="560" w:lineRule="exact"/>
        <w:rPr>
          <w:rFonts w:ascii="宋体" w:hAnsi="宋体"/>
          <w:color w:val="auto"/>
          <w:sz w:val="24"/>
        </w:rPr>
      </w:pPr>
    </w:p>
    <w:p>
      <w:pPr>
        <w:autoSpaceDE w:val="0"/>
        <w:autoSpaceDN w:val="0"/>
        <w:spacing w:line="560" w:lineRule="exact"/>
        <w:rPr>
          <w:rFonts w:ascii="宋体" w:hAnsi="宋体"/>
          <w:b/>
          <w:color w:val="auto"/>
          <w:sz w:val="24"/>
        </w:rPr>
      </w:pPr>
    </w:p>
    <w:p>
      <w:pPr>
        <w:autoSpaceDE w:val="0"/>
        <w:autoSpaceDN w:val="0"/>
        <w:spacing w:line="560" w:lineRule="exact"/>
        <w:rPr>
          <w:rFonts w:ascii="宋体" w:hAnsi="宋体"/>
          <w:color w:val="auto"/>
          <w:sz w:val="24"/>
        </w:rPr>
      </w:pPr>
      <w:r>
        <w:rPr>
          <w:rFonts w:hint="eastAsia" w:ascii="宋体" w:hAnsi="宋体"/>
          <w:color w:val="auto"/>
          <w:sz w:val="24"/>
        </w:rPr>
        <w:t>转让方（甲方）：                     受让方（乙方）：</w:t>
      </w:r>
    </w:p>
    <w:p>
      <w:pPr>
        <w:autoSpaceDE w:val="0"/>
        <w:autoSpaceDN w:val="0"/>
        <w:spacing w:line="560" w:lineRule="exact"/>
        <w:rPr>
          <w:rFonts w:ascii="宋体" w:hAnsi="宋体"/>
          <w:color w:val="auto"/>
          <w:sz w:val="24"/>
        </w:rPr>
      </w:pPr>
      <w:r>
        <w:rPr>
          <w:rFonts w:hint="eastAsia" w:ascii="宋体" w:hAnsi="宋体"/>
          <w:color w:val="auto"/>
          <w:sz w:val="24"/>
        </w:rPr>
        <w:t>（盖章）                            （盖章）</w:t>
      </w:r>
    </w:p>
    <w:p>
      <w:pPr>
        <w:autoSpaceDE w:val="0"/>
        <w:autoSpaceDN w:val="0"/>
        <w:spacing w:line="560" w:lineRule="exact"/>
        <w:rPr>
          <w:rFonts w:ascii="宋体" w:hAnsi="宋体"/>
          <w:color w:val="auto"/>
          <w:sz w:val="24"/>
        </w:rPr>
      </w:pPr>
    </w:p>
    <w:p>
      <w:pPr>
        <w:autoSpaceDE w:val="0"/>
        <w:autoSpaceDN w:val="0"/>
        <w:spacing w:line="560" w:lineRule="exact"/>
        <w:rPr>
          <w:rFonts w:ascii="宋体" w:hAnsi="宋体"/>
          <w:color w:val="auto"/>
          <w:sz w:val="24"/>
        </w:rPr>
      </w:pPr>
      <w:r>
        <w:rPr>
          <w:rFonts w:hint="eastAsia" w:ascii="宋体" w:hAnsi="宋体"/>
          <w:color w:val="auto"/>
          <w:sz w:val="24"/>
        </w:rPr>
        <w:t>法定代表人或授权                   法定代表人或授权</w:t>
      </w:r>
    </w:p>
    <w:p>
      <w:pPr>
        <w:autoSpaceDE w:val="0"/>
        <w:autoSpaceDN w:val="0"/>
        <w:spacing w:line="560" w:lineRule="exact"/>
        <w:rPr>
          <w:rFonts w:ascii="宋体" w:hAnsi="宋体"/>
          <w:color w:val="auto"/>
          <w:sz w:val="24"/>
        </w:rPr>
      </w:pPr>
      <w:r>
        <w:rPr>
          <w:rFonts w:hint="eastAsia" w:ascii="宋体" w:hAnsi="宋体"/>
          <w:color w:val="auto"/>
          <w:sz w:val="24"/>
        </w:rPr>
        <w:t>委托代表（签字）：                  委托代表（签字）：</w:t>
      </w:r>
    </w:p>
    <w:p>
      <w:pPr>
        <w:autoSpaceDE w:val="0"/>
        <w:autoSpaceDN w:val="0"/>
        <w:spacing w:line="560" w:lineRule="exact"/>
        <w:rPr>
          <w:rFonts w:hint="eastAsia" w:ascii="宋体" w:hAnsi="宋体"/>
          <w:color w:val="auto"/>
          <w:sz w:val="24"/>
        </w:rPr>
      </w:pPr>
      <w:r>
        <w:rPr>
          <w:rFonts w:hint="eastAsia" w:ascii="宋体" w:hAnsi="宋体"/>
          <w:color w:val="auto"/>
          <w:sz w:val="24"/>
        </w:rPr>
        <w:t xml:space="preserve">           </w:t>
      </w:r>
    </w:p>
    <w:p>
      <w:pPr>
        <w:autoSpaceDE w:val="0"/>
        <w:autoSpaceDN w:val="0"/>
        <w:spacing w:line="560" w:lineRule="exact"/>
        <w:rPr>
          <w:rFonts w:hint="eastAsia" w:ascii="宋体" w:hAnsi="宋体"/>
          <w:color w:val="auto"/>
          <w:sz w:val="24"/>
        </w:rPr>
      </w:pPr>
    </w:p>
    <w:p>
      <w:pPr>
        <w:autoSpaceDE w:val="0"/>
        <w:autoSpaceDN w:val="0"/>
        <w:spacing w:line="560" w:lineRule="exact"/>
        <w:rPr>
          <w:rFonts w:ascii="宋体" w:hAnsi="宋体"/>
          <w:color w:val="auto"/>
          <w:sz w:val="24"/>
        </w:rPr>
      </w:pPr>
      <w:r>
        <w:rPr>
          <w:rFonts w:hint="eastAsia" w:ascii="宋体" w:hAnsi="宋体"/>
          <w:color w:val="auto"/>
          <w:sz w:val="24"/>
        </w:rPr>
        <w:t>签约地点：</w:t>
      </w:r>
    </w:p>
    <w:p>
      <w:pPr>
        <w:autoSpaceDE w:val="0"/>
        <w:autoSpaceDN w:val="0"/>
        <w:spacing w:line="560" w:lineRule="exact"/>
        <w:rPr>
          <w:rFonts w:ascii="宋体" w:hAnsi="宋体"/>
          <w:color w:val="auto"/>
          <w:sz w:val="24"/>
        </w:rPr>
      </w:pPr>
      <w:r>
        <w:rPr>
          <w:rFonts w:hint="eastAsia" w:ascii="宋体" w:hAnsi="宋体"/>
          <w:color w:val="auto"/>
          <w:sz w:val="24"/>
        </w:rPr>
        <w:t>签约时间：      年    月    日</w:t>
      </w:r>
    </w:p>
    <w:p>
      <w:pPr>
        <w:spacing w:line="560" w:lineRule="exact"/>
        <w:rPr>
          <w:color w:val="auto"/>
        </w:rPr>
      </w:pPr>
    </w:p>
    <w:p>
      <w:pPr>
        <w:rPr>
          <w:color w:val="auto"/>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pP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3YmU4YThmNTFjMzU0OWM4MjU1OWU3ZDA2ZjQ1MjgifQ=="/>
  </w:docVars>
  <w:rsids>
    <w:rsidRoot w:val="18775221"/>
    <w:rsid w:val="00002024"/>
    <w:rsid w:val="0004311A"/>
    <w:rsid w:val="000A6561"/>
    <w:rsid w:val="00170F60"/>
    <w:rsid w:val="00414A7C"/>
    <w:rsid w:val="004261F9"/>
    <w:rsid w:val="006841F2"/>
    <w:rsid w:val="006F6ADF"/>
    <w:rsid w:val="0099196A"/>
    <w:rsid w:val="00CF7ED4"/>
    <w:rsid w:val="011215F5"/>
    <w:rsid w:val="01A66E08"/>
    <w:rsid w:val="01F662DA"/>
    <w:rsid w:val="02042E3F"/>
    <w:rsid w:val="027E3072"/>
    <w:rsid w:val="033069ED"/>
    <w:rsid w:val="072E2EF9"/>
    <w:rsid w:val="08A668E4"/>
    <w:rsid w:val="08C3275D"/>
    <w:rsid w:val="09862F3A"/>
    <w:rsid w:val="09EC575C"/>
    <w:rsid w:val="0B0E1BE2"/>
    <w:rsid w:val="0BAC65BD"/>
    <w:rsid w:val="0CAF7A2A"/>
    <w:rsid w:val="0D820C03"/>
    <w:rsid w:val="109F3996"/>
    <w:rsid w:val="11710FAD"/>
    <w:rsid w:val="11D76730"/>
    <w:rsid w:val="123516DF"/>
    <w:rsid w:val="14010AF4"/>
    <w:rsid w:val="18775221"/>
    <w:rsid w:val="1C9C4AF8"/>
    <w:rsid w:val="1E017997"/>
    <w:rsid w:val="1E72706C"/>
    <w:rsid w:val="1EDB5A5D"/>
    <w:rsid w:val="23AE71CA"/>
    <w:rsid w:val="24CB3EF9"/>
    <w:rsid w:val="27EE4146"/>
    <w:rsid w:val="2814017A"/>
    <w:rsid w:val="2D3B55C5"/>
    <w:rsid w:val="2DD16366"/>
    <w:rsid w:val="2F3A4AD3"/>
    <w:rsid w:val="2F7F618E"/>
    <w:rsid w:val="2FC214FF"/>
    <w:rsid w:val="31EE4B1B"/>
    <w:rsid w:val="350977B8"/>
    <w:rsid w:val="366E67F9"/>
    <w:rsid w:val="38DF43CD"/>
    <w:rsid w:val="39C058F2"/>
    <w:rsid w:val="3B7E7C92"/>
    <w:rsid w:val="3CCD66E8"/>
    <w:rsid w:val="3D4B0840"/>
    <w:rsid w:val="43651497"/>
    <w:rsid w:val="46737669"/>
    <w:rsid w:val="47DF4D70"/>
    <w:rsid w:val="497E0FE9"/>
    <w:rsid w:val="4AB5418D"/>
    <w:rsid w:val="4B4C2969"/>
    <w:rsid w:val="4F680F57"/>
    <w:rsid w:val="4FAE6D22"/>
    <w:rsid w:val="52F90C68"/>
    <w:rsid w:val="533A6805"/>
    <w:rsid w:val="534C327E"/>
    <w:rsid w:val="55F60F9D"/>
    <w:rsid w:val="585D3677"/>
    <w:rsid w:val="58C35579"/>
    <w:rsid w:val="58DA4F18"/>
    <w:rsid w:val="5B14072B"/>
    <w:rsid w:val="5FFB29A9"/>
    <w:rsid w:val="61C07C94"/>
    <w:rsid w:val="643E2B06"/>
    <w:rsid w:val="64E36F0B"/>
    <w:rsid w:val="650D3C26"/>
    <w:rsid w:val="6562714A"/>
    <w:rsid w:val="674271AF"/>
    <w:rsid w:val="69E05A80"/>
    <w:rsid w:val="6A0562F8"/>
    <w:rsid w:val="6AF80B13"/>
    <w:rsid w:val="6B3C3AD2"/>
    <w:rsid w:val="6B6B6DA9"/>
    <w:rsid w:val="6EBC6CB9"/>
    <w:rsid w:val="6EF1764E"/>
    <w:rsid w:val="704754AA"/>
    <w:rsid w:val="718A0990"/>
    <w:rsid w:val="729045E3"/>
    <w:rsid w:val="73140FE6"/>
    <w:rsid w:val="76211D53"/>
    <w:rsid w:val="7802516E"/>
    <w:rsid w:val="780377F6"/>
    <w:rsid w:val="78900928"/>
    <w:rsid w:val="78CE6116"/>
    <w:rsid w:val="78D921A2"/>
    <w:rsid w:val="796572F3"/>
    <w:rsid w:val="7A5533E1"/>
    <w:rsid w:val="7AAC188C"/>
    <w:rsid w:val="7C3D7AC6"/>
    <w:rsid w:val="7F453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keepNext/>
      <w:keepLines/>
      <w:spacing w:line="576" w:lineRule="auto"/>
      <w:outlineLvl w:val="0"/>
    </w:pPr>
    <w:rPr>
      <w:rFonts w:ascii="Times New Roman"/>
      <w:b/>
      <w:kern w:val="44"/>
      <w:sz w:val="44"/>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annotation reference"/>
    <w:basedOn w:val="8"/>
    <w:qFormat/>
    <w:uiPriority w:val="0"/>
    <w:rPr>
      <w:sz w:val="21"/>
      <w:szCs w:val="21"/>
    </w:rPr>
  </w:style>
  <w:style w:type="paragraph" w:customStyle="1" w:styleId="10">
    <w:name w:val="页眉1"/>
    <w:basedOn w:val="1"/>
    <w:qFormat/>
    <w:uiPriority w:val="0"/>
    <w:pPr>
      <w:pBdr>
        <w:bottom w:val="single" w:color="auto" w:sz="6" w:space="1"/>
      </w:pBdr>
      <w:tabs>
        <w:tab w:val="center" w:pos="4153"/>
        <w:tab w:val="right" w:pos="8306"/>
      </w:tabs>
      <w:snapToGrid w:val="0"/>
      <w:jc w:val="center"/>
    </w:pPr>
    <w:rPr>
      <w:sz w:val="18"/>
    </w:rPr>
  </w:style>
  <w:style w:type="character" w:customStyle="1" w:styleId="11">
    <w:name w:val="批注框文本 Char"/>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5440</Words>
  <Characters>5598</Characters>
  <Lines>47</Lines>
  <Paragraphs>13</Paragraphs>
  <TotalTime>9</TotalTime>
  <ScaleCrop>false</ScaleCrop>
  <LinksUpToDate>false</LinksUpToDate>
  <CharactersWithSpaces>6144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2020-03-19T08:59:00Z</dcterms:created>
  <dc:creator>陈俊</dc:creator>
  <cp:lastModifiedBy>均均均</cp:lastModifiedBy>
  <dcterms:modified xsi:type="dcterms:W3CDTF">2022-05-17T03:11:09Z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5581A93822704616AE46DB9AE2C41D08</vt:lpwstr>
  </property>
</Properties>
</file>