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jc w:val="center"/>
        <w:rPr>
          <w:rFonts w:hint="eastAsia" w:ascii="宋体" w:hAnsi="宋体" w:cs="仿宋"/>
          <w:color w:val="auto"/>
          <w:sz w:val="32"/>
          <w:szCs w:val="32"/>
          <w:highlight w:val="none"/>
        </w:rPr>
      </w:pPr>
      <w:r>
        <w:rPr>
          <w:rFonts w:hint="eastAsia" w:ascii="宋体" w:hAnsi="宋体" w:cs="仿宋"/>
          <w:color w:val="auto"/>
          <w:sz w:val="32"/>
          <w:szCs w:val="32"/>
          <w:highlight w:val="none"/>
        </w:rPr>
        <w:t>评</w:t>
      </w:r>
      <w:r>
        <w:rPr>
          <w:rFonts w:hint="eastAsia" w:hAnsi="宋体" w:cs="仿宋"/>
          <w:color w:val="auto"/>
          <w:sz w:val="32"/>
          <w:szCs w:val="32"/>
          <w:highlight w:val="none"/>
        </w:rPr>
        <w:t>选办法</w:t>
      </w:r>
      <w:r>
        <w:rPr>
          <w:rFonts w:hint="eastAsia" w:ascii="宋体" w:hAnsi="宋体" w:cs="仿宋"/>
          <w:color w:val="auto"/>
          <w:sz w:val="32"/>
          <w:szCs w:val="32"/>
          <w:highlight w:val="none"/>
        </w:rPr>
        <w:t>与</w:t>
      </w:r>
      <w:r>
        <w:rPr>
          <w:rFonts w:hint="eastAsia" w:hAnsi="宋体" w:cs="仿宋"/>
          <w:color w:val="auto"/>
          <w:sz w:val="32"/>
          <w:szCs w:val="32"/>
          <w:highlight w:val="none"/>
        </w:rPr>
        <w:t>结果</w:t>
      </w:r>
    </w:p>
    <w:p>
      <w:pPr>
        <w:pStyle w:val="6"/>
        <w:spacing w:line="240" w:lineRule="auto"/>
        <w:rPr>
          <w:rFonts w:hint="eastAsia" w:ascii="宋体" w:hAnsi="宋体" w:eastAsia="宋体" w:cs="仿宋"/>
          <w:color w:val="auto"/>
          <w:sz w:val="24"/>
          <w:szCs w:val="24"/>
          <w:highlight w:val="none"/>
        </w:rPr>
      </w:pPr>
      <w:bookmarkStart w:id="0" w:name="_Toc15816"/>
      <w:bookmarkStart w:id="1" w:name="_Toc374378411"/>
      <w:bookmarkStart w:id="2" w:name="_Toc119321139"/>
      <w:r>
        <w:rPr>
          <w:rFonts w:hint="eastAsia" w:ascii="宋体" w:hAnsi="宋体" w:eastAsia="宋体" w:cs="仿宋"/>
          <w:color w:val="auto"/>
          <w:sz w:val="24"/>
          <w:szCs w:val="24"/>
          <w:highlight w:val="none"/>
        </w:rPr>
        <w:t>一、评选办法</w:t>
      </w:r>
      <w:bookmarkEnd w:id="0"/>
      <w:bookmarkEnd w:id="1"/>
      <w:bookmarkEnd w:id="2"/>
    </w:p>
    <w:p>
      <w:pPr>
        <w:spacing w:line="360" w:lineRule="auto"/>
        <w:ind w:firstLine="480" w:firstLineChars="200"/>
        <w:rPr>
          <w:rFonts w:hint="eastAsia" w:hAnsi="宋体" w:cs="仿宋"/>
          <w:color w:val="auto"/>
          <w:szCs w:val="24"/>
          <w:highlight w:val="none"/>
        </w:rPr>
      </w:pPr>
      <w:r>
        <w:rPr>
          <w:rFonts w:hint="eastAsia" w:hAnsi="宋体" w:cs="仿宋"/>
          <w:color w:val="auto"/>
          <w:szCs w:val="24"/>
          <w:highlight w:val="none"/>
        </w:rPr>
        <w:t>由采购人</w:t>
      </w:r>
      <w:r>
        <w:rPr>
          <w:rFonts w:hint="eastAsia" w:hAnsi="宋体" w:cs="仿宋"/>
          <w:color w:val="auto"/>
          <w:szCs w:val="24"/>
          <w:highlight w:val="none"/>
          <w:lang w:val="en-US" w:eastAsia="zh-CN"/>
        </w:rPr>
        <w:t>依规定</w:t>
      </w:r>
      <w:r>
        <w:rPr>
          <w:rFonts w:hint="eastAsia" w:hAnsi="宋体" w:cs="仿宋"/>
          <w:color w:val="auto"/>
          <w:szCs w:val="24"/>
          <w:highlight w:val="none"/>
        </w:rPr>
        <w:t>组成</w:t>
      </w:r>
      <w:r>
        <w:rPr>
          <w:rFonts w:hint="eastAsia" w:hAnsi="宋体" w:cs="仿宋"/>
          <w:color w:val="auto"/>
          <w:szCs w:val="24"/>
          <w:highlight w:val="none"/>
          <w:lang w:val="en-US" w:eastAsia="zh-CN"/>
        </w:rPr>
        <w:t>7人</w:t>
      </w:r>
      <w:r>
        <w:rPr>
          <w:rFonts w:hint="eastAsia" w:hAnsi="宋体" w:cs="仿宋"/>
          <w:color w:val="auto"/>
          <w:szCs w:val="24"/>
          <w:highlight w:val="none"/>
        </w:rPr>
        <w:t>评</w:t>
      </w:r>
      <w:r>
        <w:rPr>
          <w:rFonts w:hint="eastAsia" w:hAnsi="宋体" w:cs="仿宋"/>
          <w:color w:val="auto"/>
          <w:szCs w:val="24"/>
          <w:highlight w:val="none"/>
          <w:lang w:val="en-US" w:eastAsia="zh-CN"/>
        </w:rPr>
        <w:t>审</w:t>
      </w:r>
      <w:r>
        <w:rPr>
          <w:rFonts w:hint="eastAsia" w:hAnsi="宋体" w:cs="仿宋"/>
          <w:color w:val="auto"/>
          <w:szCs w:val="24"/>
          <w:highlight w:val="none"/>
        </w:rPr>
        <w:t>小组，对参选的潜在供应商进行综合评审并最终</w:t>
      </w:r>
      <w:r>
        <w:rPr>
          <w:rFonts w:hint="eastAsia" w:hAnsi="宋体" w:cs="仿宋"/>
          <w:color w:val="auto"/>
          <w:szCs w:val="24"/>
          <w:highlight w:val="none"/>
          <w:lang w:val="en-US" w:eastAsia="zh-CN"/>
        </w:rPr>
        <w:t>确定</w:t>
      </w:r>
      <w:r>
        <w:rPr>
          <w:rFonts w:hint="eastAsia" w:hAnsi="宋体" w:cs="仿宋"/>
          <w:color w:val="auto"/>
          <w:szCs w:val="24"/>
          <w:highlight w:val="none"/>
        </w:rPr>
        <w:t>中选供应商。</w:t>
      </w:r>
    </w:p>
    <w:p>
      <w:pPr>
        <w:pStyle w:val="6"/>
        <w:spacing w:line="240" w:lineRule="auto"/>
        <w:rPr>
          <w:rFonts w:hint="eastAsia" w:hAnsi="宋体" w:cs="仿宋"/>
          <w:b w:val="0"/>
          <w:color w:val="auto"/>
          <w:sz w:val="24"/>
          <w:szCs w:val="24"/>
          <w:highlight w:val="none"/>
        </w:rPr>
      </w:pPr>
      <w:bookmarkStart w:id="3" w:name="_Toc574"/>
      <w:r>
        <w:rPr>
          <w:rFonts w:hint="eastAsia" w:ascii="宋体" w:hAnsi="宋体" w:eastAsia="宋体" w:cs="仿宋"/>
          <w:b w:val="0"/>
          <w:color w:val="auto"/>
          <w:sz w:val="24"/>
          <w:szCs w:val="24"/>
          <w:highlight w:val="none"/>
        </w:rPr>
        <w:t>二、</w:t>
      </w:r>
      <w:r>
        <w:rPr>
          <w:rFonts w:hint="eastAsia" w:hAnsi="宋体" w:cs="仿宋"/>
          <w:b w:val="0"/>
          <w:color w:val="auto"/>
          <w:sz w:val="24"/>
          <w:szCs w:val="24"/>
          <w:highlight w:val="none"/>
        </w:rPr>
        <w:t>评选流程</w:t>
      </w:r>
      <w:bookmarkEnd w:id="3"/>
    </w:p>
    <w:p>
      <w:pPr>
        <w:spacing w:line="360" w:lineRule="auto"/>
        <w:ind w:firstLine="480" w:firstLineChars="200"/>
        <w:rPr>
          <w:rFonts w:hint="eastAsia" w:hAnsi="宋体" w:cs="仿宋"/>
          <w:color w:val="auto"/>
          <w:szCs w:val="24"/>
          <w:highlight w:val="none"/>
        </w:rPr>
      </w:pPr>
      <w:r>
        <w:rPr>
          <w:rFonts w:hint="eastAsia" w:hAnsi="宋体" w:cs="仿宋"/>
          <w:color w:val="auto"/>
          <w:szCs w:val="24"/>
          <w:highlight w:val="none"/>
        </w:rPr>
        <w:t>资质评审+价格评审+商务技术评审，共三个环节。资质评审环节符合要求的潜在供应商方可进入商务</w:t>
      </w:r>
      <w:r>
        <w:rPr>
          <w:rFonts w:hint="eastAsia" w:hAnsi="宋体" w:cs="仿宋"/>
          <w:color w:val="auto"/>
          <w:szCs w:val="24"/>
          <w:highlight w:val="none"/>
          <w:lang w:val="en-US" w:eastAsia="zh-CN"/>
        </w:rPr>
        <w:t>技术</w:t>
      </w:r>
      <w:r>
        <w:rPr>
          <w:rFonts w:hint="eastAsia" w:hAnsi="宋体" w:cs="仿宋"/>
          <w:color w:val="auto"/>
          <w:szCs w:val="24"/>
          <w:highlight w:val="none"/>
        </w:rPr>
        <w:t>评审环节。</w:t>
      </w:r>
    </w:p>
    <w:p>
      <w:pPr>
        <w:pStyle w:val="6"/>
        <w:spacing w:line="240" w:lineRule="auto"/>
        <w:rPr>
          <w:rFonts w:hint="eastAsia" w:hAnsi="宋体" w:cs="仿宋"/>
          <w:color w:val="auto"/>
          <w:szCs w:val="24"/>
          <w:highlight w:val="none"/>
        </w:rPr>
      </w:pPr>
      <w:bookmarkStart w:id="4" w:name="_Toc20989"/>
      <w:r>
        <w:rPr>
          <w:rFonts w:hint="eastAsia" w:hAnsi="宋体" w:cs="仿宋"/>
          <w:b w:val="0"/>
          <w:color w:val="auto"/>
          <w:sz w:val="24"/>
          <w:szCs w:val="24"/>
          <w:highlight w:val="none"/>
        </w:rPr>
        <w:t>三、评选标准</w:t>
      </w:r>
      <w:bookmarkEnd w:id="4"/>
    </w:p>
    <w:p>
      <w:pPr>
        <w:pStyle w:val="6"/>
        <w:spacing w:line="240" w:lineRule="auto"/>
        <w:ind w:firstLine="480" w:firstLineChars="200"/>
        <w:rPr>
          <w:rFonts w:hint="eastAsia" w:ascii="宋体" w:hAnsi="宋体" w:eastAsia="宋体" w:cs="仿宋"/>
          <w:b w:val="0"/>
          <w:bCs w:val="0"/>
          <w:color w:val="auto"/>
          <w:kern w:val="0"/>
          <w:sz w:val="24"/>
          <w:szCs w:val="24"/>
          <w:highlight w:val="none"/>
        </w:rPr>
      </w:pPr>
      <w:r>
        <w:rPr>
          <w:rFonts w:hint="eastAsia" w:ascii="宋体" w:hAnsi="宋体" w:eastAsia="宋体" w:cs="仿宋"/>
          <w:b w:val="0"/>
          <w:bCs w:val="0"/>
          <w:color w:val="auto"/>
          <w:kern w:val="0"/>
          <w:sz w:val="24"/>
          <w:szCs w:val="24"/>
          <w:highlight w:val="none"/>
        </w:rPr>
        <w:t>（一）价格评审和商务技术评审环节的评分权重。</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2596"/>
        <w:gridCol w:w="4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2127" w:type="dxa"/>
            <w:tcBorders>
              <w:right w:val="single" w:color="auto" w:sz="6" w:space="0"/>
            </w:tcBorders>
            <w:noWrap w:val="0"/>
            <w:vAlign w:val="center"/>
          </w:tcPr>
          <w:p>
            <w:pPr>
              <w:spacing w:line="360" w:lineRule="auto"/>
              <w:jc w:val="center"/>
              <w:rPr>
                <w:rFonts w:hint="eastAsia" w:hAnsi="宋体" w:cs="仿宋"/>
                <w:color w:val="auto"/>
                <w:szCs w:val="24"/>
                <w:highlight w:val="none"/>
              </w:rPr>
            </w:pPr>
            <w:r>
              <w:rPr>
                <w:rFonts w:hint="eastAsia" w:hAnsi="宋体" w:cs="仿宋"/>
                <w:color w:val="auto"/>
                <w:szCs w:val="24"/>
                <w:highlight w:val="none"/>
              </w:rPr>
              <w:t>序号</w:t>
            </w:r>
          </w:p>
        </w:tc>
        <w:tc>
          <w:tcPr>
            <w:tcW w:w="2596" w:type="dxa"/>
            <w:tcBorders>
              <w:left w:val="single" w:color="auto" w:sz="6" w:space="0"/>
            </w:tcBorders>
            <w:noWrap w:val="0"/>
            <w:vAlign w:val="center"/>
          </w:tcPr>
          <w:p>
            <w:pPr>
              <w:spacing w:line="360" w:lineRule="auto"/>
              <w:jc w:val="center"/>
              <w:rPr>
                <w:rFonts w:hint="eastAsia" w:hAnsi="宋体" w:cs="仿宋"/>
                <w:color w:val="auto"/>
                <w:szCs w:val="24"/>
                <w:highlight w:val="none"/>
              </w:rPr>
            </w:pPr>
            <w:r>
              <w:rPr>
                <w:rFonts w:hint="eastAsia" w:hAnsi="宋体" w:cs="仿宋"/>
                <w:color w:val="auto"/>
                <w:szCs w:val="24"/>
                <w:highlight w:val="none"/>
              </w:rPr>
              <w:t>评审环节</w:t>
            </w:r>
          </w:p>
        </w:tc>
        <w:tc>
          <w:tcPr>
            <w:tcW w:w="4230" w:type="dxa"/>
            <w:noWrap w:val="0"/>
            <w:vAlign w:val="center"/>
          </w:tcPr>
          <w:p>
            <w:pPr>
              <w:spacing w:line="360" w:lineRule="auto"/>
              <w:jc w:val="center"/>
              <w:rPr>
                <w:rFonts w:hint="eastAsia" w:hAnsi="宋体" w:cs="仿宋"/>
                <w:color w:val="auto"/>
                <w:szCs w:val="24"/>
                <w:highlight w:val="none"/>
              </w:rPr>
            </w:pPr>
            <w:r>
              <w:rPr>
                <w:rFonts w:hint="eastAsia" w:hAnsi="宋体" w:cs="仿宋"/>
                <w:color w:val="auto"/>
                <w:szCs w:val="24"/>
                <w:highlight w:val="none"/>
              </w:rPr>
              <w:t>分值分配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2127" w:type="dxa"/>
            <w:tcBorders>
              <w:right w:val="single" w:color="auto" w:sz="6" w:space="0"/>
            </w:tcBorders>
            <w:noWrap w:val="0"/>
            <w:vAlign w:val="center"/>
          </w:tcPr>
          <w:p>
            <w:pPr>
              <w:spacing w:line="360" w:lineRule="auto"/>
              <w:jc w:val="center"/>
              <w:rPr>
                <w:rFonts w:hint="eastAsia" w:hAnsi="宋体" w:cs="仿宋"/>
                <w:color w:val="auto"/>
                <w:szCs w:val="24"/>
                <w:highlight w:val="none"/>
              </w:rPr>
            </w:pPr>
            <w:r>
              <w:rPr>
                <w:rFonts w:hint="eastAsia" w:hAnsi="宋体" w:cs="仿宋"/>
                <w:color w:val="auto"/>
                <w:szCs w:val="24"/>
                <w:highlight w:val="none"/>
              </w:rPr>
              <w:t>1</w:t>
            </w:r>
          </w:p>
        </w:tc>
        <w:tc>
          <w:tcPr>
            <w:tcW w:w="2596" w:type="dxa"/>
            <w:tcBorders>
              <w:left w:val="single" w:color="auto" w:sz="6" w:space="0"/>
            </w:tcBorders>
            <w:noWrap w:val="0"/>
            <w:vAlign w:val="center"/>
          </w:tcPr>
          <w:p>
            <w:pPr>
              <w:spacing w:line="360" w:lineRule="auto"/>
              <w:jc w:val="center"/>
              <w:rPr>
                <w:rFonts w:hint="eastAsia" w:hAnsi="宋体" w:cs="仿宋"/>
                <w:color w:val="auto"/>
                <w:szCs w:val="24"/>
                <w:highlight w:val="none"/>
              </w:rPr>
            </w:pPr>
            <w:r>
              <w:rPr>
                <w:rFonts w:hint="eastAsia" w:hAnsi="宋体" w:cs="仿宋"/>
                <w:color w:val="auto"/>
                <w:szCs w:val="24"/>
                <w:highlight w:val="none"/>
              </w:rPr>
              <w:t>价格</w:t>
            </w:r>
          </w:p>
        </w:tc>
        <w:tc>
          <w:tcPr>
            <w:tcW w:w="4230" w:type="dxa"/>
            <w:noWrap w:val="0"/>
            <w:vAlign w:val="center"/>
          </w:tcPr>
          <w:p>
            <w:pPr>
              <w:spacing w:line="360" w:lineRule="auto"/>
              <w:jc w:val="center"/>
              <w:rPr>
                <w:rFonts w:hint="eastAsia" w:hAnsi="宋体" w:cs="仿宋"/>
                <w:color w:val="auto"/>
                <w:szCs w:val="24"/>
                <w:highlight w:val="none"/>
              </w:rPr>
            </w:pPr>
            <w:r>
              <w:rPr>
                <w:rFonts w:hint="eastAsia" w:hAnsi="宋体" w:cs="仿宋"/>
                <w:color w:val="auto"/>
                <w:szCs w:val="24"/>
                <w:highlight w:val="none"/>
                <w:lang w:val="en-US" w:eastAsia="zh-CN"/>
              </w:rPr>
              <w:t>4</w:t>
            </w:r>
            <w:r>
              <w:rPr>
                <w:rFonts w:hint="eastAsia" w:hAnsi="宋体" w:cs="仿宋"/>
                <w:color w:val="auto"/>
                <w:szCs w:val="24"/>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 w:hRule="atLeast"/>
          <w:jc w:val="center"/>
        </w:trPr>
        <w:tc>
          <w:tcPr>
            <w:tcW w:w="2127" w:type="dxa"/>
            <w:tcBorders>
              <w:right w:val="single" w:color="auto" w:sz="6" w:space="0"/>
            </w:tcBorders>
            <w:noWrap w:val="0"/>
            <w:vAlign w:val="center"/>
          </w:tcPr>
          <w:p>
            <w:pPr>
              <w:spacing w:line="360" w:lineRule="auto"/>
              <w:jc w:val="center"/>
              <w:rPr>
                <w:rFonts w:hint="eastAsia" w:hAnsi="宋体" w:cs="仿宋"/>
                <w:color w:val="auto"/>
                <w:szCs w:val="24"/>
                <w:highlight w:val="none"/>
              </w:rPr>
            </w:pPr>
            <w:r>
              <w:rPr>
                <w:rFonts w:hint="eastAsia" w:hAnsi="宋体" w:cs="仿宋"/>
                <w:color w:val="auto"/>
                <w:szCs w:val="24"/>
                <w:highlight w:val="none"/>
              </w:rPr>
              <w:t>2</w:t>
            </w:r>
          </w:p>
        </w:tc>
        <w:tc>
          <w:tcPr>
            <w:tcW w:w="2596" w:type="dxa"/>
            <w:tcBorders>
              <w:left w:val="single" w:color="auto" w:sz="6" w:space="0"/>
            </w:tcBorders>
            <w:noWrap w:val="0"/>
            <w:vAlign w:val="center"/>
          </w:tcPr>
          <w:p>
            <w:pPr>
              <w:spacing w:line="360" w:lineRule="auto"/>
              <w:jc w:val="center"/>
              <w:rPr>
                <w:rFonts w:hint="eastAsia" w:hAnsi="宋体" w:cs="仿宋"/>
                <w:color w:val="auto"/>
                <w:szCs w:val="24"/>
                <w:highlight w:val="none"/>
              </w:rPr>
            </w:pPr>
            <w:r>
              <w:rPr>
                <w:rFonts w:hint="eastAsia" w:hAnsi="宋体" w:cs="仿宋"/>
                <w:color w:val="auto"/>
                <w:szCs w:val="24"/>
                <w:highlight w:val="none"/>
              </w:rPr>
              <w:t>商务技术</w:t>
            </w:r>
          </w:p>
        </w:tc>
        <w:tc>
          <w:tcPr>
            <w:tcW w:w="4230" w:type="dxa"/>
            <w:noWrap w:val="0"/>
            <w:vAlign w:val="center"/>
          </w:tcPr>
          <w:p>
            <w:pPr>
              <w:spacing w:line="360" w:lineRule="auto"/>
              <w:jc w:val="center"/>
              <w:rPr>
                <w:rFonts w:hint="eastAsia" w:hAnsi="宋体" w:cs="仿宋"/>
                <w:color w:val="auto"/>
                <w:szCs w:val="24"/>
                <w:highlight w:val="none"/>
              </w:rPr>
            </w:pPr>
            <w:r>
              <w:rPr>
                <w:rFonts w:hint="eastAsia" w:hAnsi="宋体" w:cs="仿宋"/>
                <w:color w:val="auto"/>
                <w:szCs w:val="24"/>
                <w:highlight w:val="none"/>
                <w:lang w:val="en-US" w:eastAsia="zh-CN"/>
              </w:rPr>
              <w:t>6</w:t>
            </w:r>
            <w:r>
              <w:rPr>
                <w:rFonts w:hint="eastAsia" w:hAnsi="宋体" w:cs="仿宋"/>
                <w:color w:val="auto"/>
                <w:szCs w:val="24"/>
                <w:highlight w:val="none"/>
              </w:rPr>
              <w:t>0%</w:t>
            </w:r>
          </w:p>
        </w:tc>
      </w:tr>
    </w:tbl>
    <w:p>
      <w:pPr>
        <w:spacing w:line="360" w:lineRule="auto"/>
        <w:ind w:firstLine="480" w:firstLineChars="200"/>
        <w:rPr>
          <w:rFonts w:hint="eastAsia" w:hAnsi="宋体" w:cs="仿宋"/>
          <w:color w:val="auto"/>
          <w:szCs w:val="24"/>
          <w:highlight w:val="none"/>
        </w:rPr>
      </w:pPr>
      <w:r>
        <w:rPr>
          <w:rFonts w:hint="eastAsia" w:hAnsi="宋体" w:cs="仿宋"/>
          <w:color w:val="auto"/>
          <w:szCs w:val="24"/>
          <w:highlight w:val="none"/>
        </w:rPr>
        <w:t>（二）潜在供应商资质评审标准。</w:t>
      </w:r>
    </w:p>
    <w:p>
      <w:pPr>
        <w:pStyle w:val="3"/>
        <w:numPr>
          <w:ilvl w:val="0"/>
          <w:numId w:val="0"/>
        </w:numPr>
        <w:spacing w:after="0" w:line="360" w:lineRule="auto"/>
        <w:ind w:left="0" w:leftChars="0" w:firstLine="480" w:firstLineChars="200"/>
        <w:rPr>
          <w:rFonts w:hint="eastAsia" w:ascii="宋体" w:hAnsi="宋体" w:cs="宋体"/>
          <w:color w:val="auto"/>
          <w:sz w:val="24"/>
          <w:highlight w:val="none"/>
        </w:rPr>
      </w:pPr>
      <w:r>
        <w:rPr>
          <w:rFonts w:hint="eastAsia" w:ascii="宋体" w:hAnsi="宋体"/>
          <w:color w:val="auto"/>
          <w:sz w:val="24"/>
          <w:highlight w:val="none"/>
          <w:lang w:val="en-US" w:eastAsia="zh-CN"/>
        </w:rPr>
        <w:t>1.</w:t>
      </w:r>
      <w:r>
        <w:rPr>
          <w:rFonts w:hint="eastAsia" w:ascii="宋体" w:hAnsi="宋体"/>
          <w:color w:val="auto"/>
          <w:sz w:val="24"/>
          <w:highlight w:val="none"/>
        </w:rPr>
        <w:t>具有独立承担民事责任能力的在中华人民共和国境内注册的法人或其他组织,有独立的营业执照。</w:t>
      </w:r>
    </w:p>
    <w:p>
      <w:pPr>
        <w:pStyle w:val="3"/>
        <w:numPr>
          <w:ilvl w:val="0"/>
          <w:numId w:val="0"/>
        </w:numPr>
        <w:spacing w:after="0" w:line="360" w:lineRule="auto"/>
        <w:ind w:left="0" w:leftChars="0" w:firstLine="480" w:firstLineChars="200"/>
        <w:rPr>
          <w:rFonts w:hint="eastAsia" w:ascii="宋体" w:hAnsi="宋体" w:cs="宋体"/>
          <w:color w:val="auto"/>
          <w:sz w:val="24"/>
          <w:highlight w:val="none"/>
        </w:rPr>
      </w:pPr>
      <w:r>
        <w:rPr>
          <w:rFonts w:hint="eastAsia" w:ascii="宋体" w:hAnsi="宋体" w:cs="宋体"/>
          <w:color w:val="auto"/>
          <w:sz w:val="24"/>
          <w:highlight w:val="none"/>
          <w:lang w:val="en-US" w:eastAsia="zh-CN"/>
        </w:rPr>
        <w:t>2.</w:t>
      </w:r>
      <w:r>
        <w:rPr>
          <w:rFonts w:hint="eastAsia" w:ascii="宋体" w:hAnsi="宋体" w:cs="宋体"/>
          <w:color w:val="auto"/>
          <w:sz w:val="24"/>
          <w:highlight w:val="none"/>
        </w:rPr>
        <w:t>具有在有效期内的《食品生产许可证》或《食品经营许可证》。</w:t>
      </w:r>
    </w:p>
    <w:p>
      <w:pPr>
        <w:pStyle w:val="3"/>
        <w:numPr>
          <w:ilvl w:val="0"/>
          <w:numId w:val="0"/>
        </w:numPr>
        <w:spacing w:after="0" w:line="360" w:lineRule="auto"/>
        <w:ind w:left="0" w:leftChars="0" w:firstLine="480" w:firstLineChars="200"/>
        <w:rPr>
          <w:rFonts w:hint="eastAsia" w:ascii="宋体" w:hAnsi="宋体" w:cs="宋体"/>
          <w:color w:val="auto"/>
          <w:sz w:val="24"/>
          <w:highlight w:val="none"/>
        </w:rPr>
      </w:pPr>
      <w:r>
        <w:rPr>
          <w:rFonts w:hint="eastAsia" w:ascii="宋体" w:hAnsi="宋体" w:cs="宋体"/>
          <w:color w:val="auto"/>
          <w:sz w:val="24"/>
          <w:highlight w:val="none"/>
          <w:lang w:val="en-US" w:eastAsia="zh-CN"/>
        </w:rPr>
        <w:t>3.</w:t>
      </w:r>
      <w:r>
        <w:rPr>
          <w:rFonts w:hint="eastAsia" w:ascii="宋体" w:hAnsi="宋体" w:cs="宋体"/>
          <w:color w:val="auto"/>
          <w:sz w:val="24"/>
          <w:highlight w:val="none"/>
        </w:rPr>
        <w:t>参选的潜在供应商为蛋糕等食品的直接生产厂家或</w:t>
      </w:r>
      <w:r>
        <w:rPr>
          <w:rFonts w:hint="eastAsia" w:ascii="宋体" w:hAnsi="宋体" w:cs="宋体"/>
          <w:color w:val="auto"/>
          <w:sz w:val="24"/>
          <w:highlight w:val="none"/>
          <w:lang w:val="en-US" w:eastAsia="zh-CN"/>
        </w:rPr>
        <w:t>有权代理销售的</w:t>
      </w:r>
      <w:r>
        <w:rPr>
          <w:rFonts w:hint="eastAsia" w:ascii="宋体" w:hAnsi="宋体" w:cs="宋体"/>
          <w:color w:val="auto"/>
          <w:sz w:val="24"/>
          <w:highlight w:val="none"/>
        </w:rPr>
        <w:t>商家。</w:t>
      </w:r>
    </w:p>
    <w:p>
      <w:pPr>
        <w:pStyle w:val="3"/>
        <w:numPr>
          <w:ilvl w:val="0"/>
          <w:numId w:val="0"/>
        </w:numPr>
        <w:spacing w:after="0" w:line="360" w:lineRule="auto"/>
        <w:ind w:left="0" w:leftChars="0" w:firstLine="480" w:firstLineChars="200"/>
        <w:rPr>
          <w:rFonts w:hint="eastAsia" w:ascii="宋体" w:hAnsi="宋体" w:cs="仿宋"/>
          <w:color w:val="auto"/>
          <w:sz w:val="24"/>
          <w:highlight w:val="none"/>
        </w:rPr>
      </w:pPr>
      <w:r>
        <w:rPr>
          <w:rFonts w:hint="eastAsia" w:ascii="宋体" w:hAnsi="宋体" w:cs="仿宋"/>
          <w:color w:val="auto"/>
          <w:sz w:val="24"/>
          <w:highlight w:val="none"/>
          <w:lang w:val="en-US" w:eastAsia="zh-CN"/>
        </w:rPr>
        <w:t>4.</w:t>
      </w:r>
      <w:r>
        <w:rPr>
          <w:rFonts w:hint="eastAsia" w:ascii="宋体" w:hAnsi="宋体" w:cs="仿宋"/>
          <w:color w:val="auto"/>
          <w:sz w:val="24"/>
          <w:highlight w:val="none"/>
        </w:rPr>
        <w:t>供应商未被列入“信用中国”网站(</w:t>
      </w:r>
      <w:r>
        <w:rPr>
          <w:rFonts w:ascii="宋体" w:hAnsi="宋体" w:cs="仿宋"/>
          <w:color w:val="auto"/>
          <w:sz w:val="24"/>
          <w:highlight w:val="none"/>
        </w:rPr>
        <w:fldChar w:fldCharType="begin"/>
      </w:r>
      <w:r>
        <w:rPr>
          <w:rFonts w:ascii="宋体" w:hAnsi="宋体" w:cs="仿宋"/>
          <w:color w:val="auto"/>
          <w:sz w:val="24"/>
          <w:highlight w:val="none"/>
        </w:rPr>
        <w:instrText xml:space="preserve"> HYPERLINK "http://</w:instrText>
      </w:r>
      <w:r>
        <w:rPr>
          <w:rFonts w:hint="eastAsia" w:ascii="宋体" w:hAnsi="宋体" w:cs="仿宋"/>
          <w:color w:val="auto"/>
          <w:sz w:val="24"/>
          <w:highlight w:val="none"/>
        </w:rPr>
        <w:instrText xml:space="preserve">www.creditchina.gov.cn</w:instrText>
      </w:r>
      <w:r>
        <w:rPr>
          <w:rFonts w:ascii="宋体" w:hAnsi="宋体" w:cs="仿宋"/>
          <w:color w:val="auto"/>
          <w:sz w:val="24"/>
          <w:highlight w:val="none"/>
        </w:rPr>
        <w:instrText xml:space="preserve">" </w:instrText>
      </w:r>
      <w:r>
        <w:rPr>
          <w:rFonts w:ascii="宋体" w:hAnsi="宋体" w:cs="仿宋"/>
          <w:color w:val="auto"/>
          <w:sz w:val="24"/>
          <w:highlight w:val="none"/>
        </w:rPr>
        <w:fldChar w:fldCharType="separate"/>
      </w:r>
      <w:r>
        <w:rPr>
          <w:rStyle w:val="10"/>
          <w:rFonts w:hint="eastAsia" w:ascii="宋体" w:hAnsi="宋体" w:eastAsia="宋体" w:cs="仿宋"/>
          <w:color w:val="auto"/>
          <w:sz w:val="24"/>
          <w:highlight w:val="none"/>
        </w:rPr>
        <w:t>www.creditchina.gov.cn</w:t>
      </w:r>
      <w:r>
        <w:rPr>
          <w:rFonts w:ascii="宋体" w:hAnsi="宋体" w:cs="仿宋"/>
          <w:color w:val="auto"/>
          <w:sz w:val="24"/>
          <w:highlight w:val="none"/>
        </w:rPr>
        <w:fldChar w:fldCharType="end"/>
      </w:r>
      <w:r>
        <w:rPr>
          <w:rFonts w:hint="eastAsia" w:ascii="宋体" w:hAnsi="宋体" w:cs="仿宋"/>
          <w:color w:val="auto"/>
          <w:sz w:val="24"/>
          <w:highlight w:val="none"/>
        </w:rPr>
        <w:t>)列为记录失信被执行人、重大税收违法案件当事人名单、政府采购严重违法失信行为等情形。同时，在中国政府采购网(www.ccgp.gov.cn)中查询没有处于禁止参加政府采购活动的记录名单。（1、由采购人于参选截止日在上述网站进行查询，同时对信息查询记录和证据截图或下载存档；2、若分公司参选：参选人为非独立法人（即由合法法人依法建立的分公司），除了对参选人进行信息查询外，同时对总公司的信息查询记录和证据截图或下载存档）。</w:t>
      </w:r>
    </w:p>
    <w:p>
      <w:pPr>
        <w:pStyle w:val="3"/>
        <w:numPr>
          <w:ilvl w:val="0"/>
          <w:numId w:val="0"/>
        </w:numPr>
        <w:spacing w:after="0" w:line="360" w:lineRule="auto"/>
        <w:ind w:left="0" w:leftChars="0" w:firstLine="480" w:firstLineChars="200"/>
        <w:rPr>
          <w:rFonts w:hint="eastAsia" w:ascii="宋体" w:hAnsi="宋体" w:cs="仿宋"/>
          <w:color w:val="auto"/>
          <w:sz w:val="24"/>
          <w:highlight w:val="none"/>
        </w:rPr>
      </w:pPr>
      <w:r>
        <w:rPr>
          <w:rFonts w:hint="eastAsia" w:ascii="宋体" w:hAnsi="宋体" w:cs="宋体"/>
          <w:color w:val="auto"/>
          <w:sz w:val="24"/>
          <w:highlight w:val="none"/>
          <w:lang w:val="en-US" w:eastAsia="zh-CN"/>
        </w:rPr>
        <w:t>5.</w:t>
      </w:r>
      <w:r>
        <w:rPr>
          <w:rFonts w:hint="eastAsia" w:ascii="宋体" w:hAnsi="宋体" w:cs="宋体"/>
          <w:color w:val="auto"/>
          <w:sz w:val="24"/>
          <w:highlight w:val="none"/>
          <w:lang w:val="zh-CN"/>
        </w:rPr>
        <w:t>为非联合体</w:t>
      </w:r>
      <w:r>
        <w:rPr>
          <w:rFonts w:hint="eastAsia" w:ascii="宋体" w:hAnsi="宋体" w:cs="宋体"/>
          <w:color w:val="auto"/>
          <w:sz w:val="24"/>
          <w:highlight w:val="none"/>
        </w:rPr>
        <w:t>报价。</w:t>
      </w:r>
    </w:p>
    <w:p>
      <w:pPr>
        <w:spacing w:line="360" w:lineRule="auto"/>
        <w:ind w:firstLine="470" w:firstLineChars="196"/>
        <w:rPr>
          <w:rFonts w:hint="eastAsia" w:hAnsi="宋体" w:eastAsia="宋体" w:cs="仿宋"/>
          <w:b/>
          <w:color w:val="auto"/>
          <w:szCs w:val="24"/>
          <w:highlight w:val="none"/>
          <w:lang w:val="en-US" w:eastAsia="zh-CN"/>
        </w:rPr>
      </w:pPr>
      <w:r>
        <w:rPr>
          <w:rFonts w:hint="eastAsia" w:ascii="宋体" w:hAnsi="宋体" w:eastAsia="宋体" w:cs="宋体"/>
          <w:b w:val="0"/>
          <w:bCs w:val="0"/>
          <w:color w:val="auto"/>
          <w:kern w:val="2"/>
          <w:szCs w:val="24"/>
          <w:highlight w:val="none"/>
          <w:lang w:val="zh-CN" w:eastAsia="zh-CN"/>
        </w:rPr>
        <w:t>6.参选的潜在供应商一次报出唯一固定的价格，生日卡可用金额不低于320元/张，生日卡采购价不高于300元/张，不得突破此标准进行报价，</w:t>
      </w:r>
      <w:r>
        <w:rPr>
          <w:rFonts w:hint="eastAsia" w:ascii="宋体" w:hAnsi="宋体" w:eastAsia="宋体" w:cs="宋体"/>
          <w:b w:val="0"/>
          <w:bCs w:val="0"/>
          <w:color w:val="auto"/>
          <w:kern w:val="2"/>
          <w:szCs w:val="24"/>
          <w:highlight w:val="none"/>
          <w:lang w:val="en-US" w:eastAsia="zh-CN"/>
        </w:rPr>
        <w:t>否则视为无效报价</w:t>
      </w:r>
      <w:r>
        <w:rPr>
          <w:rFonts w:hint="eastAsia" w:ascii="宋体" w:hAnsi="宋体" w:eastAsia="宋体" w:cs="宋体"/>
          <w:b w:val="0"/>
          <w:bCs w:val="0"/>
          <w:color w:val="auto"/>
          <w:kern w:val="2"/>
          <w:szCs w:val="24"/>
          <w:highlight w:val="none"/>
          <w:lang w:val="zh-CN" w:eastAsia="zh-CN"/>
        </w:rPr>
        <w:t>。</w:t>
      </w:r>
    </w:p>
    <w:p>
      <w:pPr>
        <w:pStyle w:val="4"/>
        <w:rPr>
          <w:rFonts w:hint="eastAsia"/>
          <w:color w:val="auto"/>
          <w:highlight w:val="none"/>
        </w:rPr>
      </w:pPr>
    </w:p>
    <w:p>
      <w:pPr>
        <w:pStyle w:val="3"/>
        <w:spacing w:after="0" w:line="360" w:lineRule="auto"/>
        <w:jc w:val="center"/>
        <w:rPr>
          <w:rFonts w:hint="eastAsia" w:hAnsi="宋体" w:cs="仿宋"/>
          <w:b/>
          <w:color w:val="auto"/>
          <w:sz w:val="24"/>
          <w:highlight w:val="none"/>
        </w:rPr>
      </w:pPr>
    </w:p>
    <w:p>
      <w:pPr>
        <w:pStyle w:val="3"/>
        <w:spacing w:after="0" w:line="360" w:lineRule="auto"/>
        <w:jc w:val="center"/>
        <w:rPr>
          <w:rFonts w:hint="eastAsia" w:ascii="宋体" w:hAnsi="宋体" w:cs="仿宋"/>
          <w:b/>
          <w:color w:val="auto"/>
          <w:sz w:val="24"/>
          <w:highlight w:val="none"/>
        </w:rPr>
      </w:pPr>
      <w:r>
        <w:rPr>
          <w:rFonts w:hint="eastAsia" w:hAnsi="宋体" w:cs="仿宋"/>
          <w:b/>
          <w:color w:val="auto"/>
          <w:sz w:val="24"/>
          <w:highlight w:val="none"/>
        </w:rPr>
        <w:t>潜在供应商</w:t>
      </w:r>
      <w:r>
        <w:rPr>
          <w:rFonts w:hint="eastAsia" w:ascii="宋体" w:hAnsi="宋体" w:cs="仿宋"/>
          <w:b/>
          <w:color w:val="auto"/>
          <w:sz w:val="24"/>
          <w:highlight w:val="none"/>
        </w:rPr>
        <w:t>资质符合性</w:t>
      </w:r>
      <w:r>
        <w:rPr>
          <w:rFonts w:hint="eastAsia" w:hAnsi="宋体" w:cs="仿宋"/>
          <w:b/>
          <w:color w:val="auto"/>
          <w:sz w:val="24"/>
          <w:highlight w:val="none"/>
        </w:rPr>
        <w:t>审查</w:t>
      </w:r>
      <w:r>
        <w:rPr>
          <w:rFonts w:hint="eastAsia" w:ascii="宋体" w:hAnsi="宋体" w:cs="仿宋"/>
          <w:b/>
          <w:color w:val="auto"/>
          <w:sz w:val="24"/>
          <w:highlight w:val="none"/>
        </w:rPr>
        <w:t>表</w:t>
      </w:r>
    </w:p>
    <w:tbl>
      <w:tblPr>
        <w:tblStyle w:val="8"/>
        <w:tblW w:w="9013" w:type="dxa"/>
        <w:jc w:val="center"/>
        <w:tblLayout w:type="fixed"/>
        <w:tblCellMar>
          <w:top w:w="0" w:type="dxa"/>
          <w:left w:w="108" w:type="dxa"/>
          <w:bottom w:w="0" w:type="dxa"/>
          <w:right w:w="108" w:type="dxa"/>
        </w:tblCellMar>
      </w:tblPr>
      <w:tblGrid>
        <w:gridCol w:w="3743"/>
        <w:gridCol w:w="1285"/>
        <w:gridCol w:w="1403"/>
        <w:gridCol w:w="1402"/>
        <w:gridCol w:w="1180"/>
      </w:tblGrid>
      <w:tr>
        <w:tblPrEx>
          <w:tblCellMar>
            <w:top w:w="0" w:type="dxa"/>
            <w:left w:w="108" w:type="dxa"/>
            <w:bottom w:w="0" w:type="dxa"/>
            <w:right w:w="108" w:type="dxa"/>
          </w:tblCellMar>
        </w:tblPrEx>
        <w:trPr>
          <w:trHeight w:val="23" w:hRule="atLeast"/>
          <w:jc w:val="center"/>
        </w:trPr>
        <w:tc>
          <w:tcPr>
            <w:tcW w:w="3743" w:type="dxa"/>
            <w:tcBorders>
              <w:top w:val="single" w:color="auto" w:sz="4" w:space="0"/>
              <w:left w:val="single" w:color="auto" w:sz="4" w:space="0"/>
              <w:bottom w:val="single" w:color="auto" w:sz="4" w:space="0"/>
              <w:right w:val="single" w:color="auto" w:sz="4" w:space="0"/>
              <w:tl2br w:val="single" w:color="auto" w:sz="6" w:space="0"/>
            </w:tcBorders>
            <w:noWrap w:val="0"/>
            <w:vAlign w:val="center"/>
          </w:tcPr>
          <w:p>
            <w:pPr>
              <w:spacing w:line="360" w:lineRule="auto"/>
              <w:rPr>
                <w:rFonts w:hint="eastAsia" w:hAnsi="宋体" w:cs="仿宋"/>
                <w:color w:val="auto"/>
                <w:kern w:val="2"/>
                <w:szCs w:val="24"/>
                <w:highlight w:val="none"/>
              </w:rPr>
            </w:pPr>
            <w:r>
              <w:rPr>
                <w:rFonts w:hint="eastAsia" w:hAnsi="宋体" w:cs="仿宋"/>
                <w:color w:val="auto"/>
                <w:kern w:val="2"/>
                <w:szCs w:val="24"/>
                <w:highlight w:val="none"/>
              </w:rPr>
              <w:t xml:space="preserve">         潜在供应商名称</w:t>
            </w:r>
          </w:p>
          <w:p>
            <w:pPr>
              <w:spacing w:line="360" w:lineRule="auto"/>
              <w:rPr>
                <w:rFonts w:hint="eastAsia" w:hAnsi="宋体" w:cs="仿宋"/>
                <w:color w:val="auto"/>
                <w:kern w:val="2"/>
                <w:szCs w:val="24"/>
                <w:highlight w:val="none"/>
              </w:rPr>
            </w:pPr>
            <w:r>
              <w:rPr>
                <w:rFonts w:hint="eastAsia" w:hAnsi="宋体" w:cs="仿宋"/>
                <w:color w:val="auto"/>
                <w:kern w:val="2"/>
                <w:szCs w:val="24"/>
                <w:highlight w:val="none"/>
              </w:rPr>
              <w:t xml:space="preserve">评审内容                       </w:t>
            </w:r>
          </w:p>
        </w:tc>
        <w:tc>
          <w:tcPr>
            <w:tcW w:w="12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仿宋"/>
                <w:color w:val="auto"/>
                <w:kern w:val="2"/>
                <w:szCs w:val="24"/>
                <w:highlight w:val="none"/>
              </w:rPr>
            </w:pPr>
            <w:r>
              <w:rPr>
                <w:rFonts w:hint="eastAsia" w:hAnsi="宋体" w:cs="仿宋"/>
                <w:color w:val="auto"/>
                <w:kern w:val="2"/>
                <w:szCs w:val="24"/>
                <w:highlight w:val="none"/>
              </w:rPr>
              <w:t>潜在供应商1</w:t>
            </w:r>
          </w:p>
        </w:tc>
        <w:tc>
          <w:tcPr>
            <w:tcW w:w="140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仿宋"/>
                <w:color w:val="auto"/>
                <w:kern w:val="2"/>
                <w:szCs w:val="24"/>
                <w:highlight w:val="none"/>
              </w:rPr>
            </w:pPr>
            <w:r>
              <w:rPr>
                <w:rFonts w:hint="eastAsia" w:hAnsi="宋体" w:cs="仿宋"/>
                <w:color w:val="auto"/>
                <w:kern w:val="2"/>
                <w:szCs w:val="24"/>
                <w:highlight w:val="none"/>
              </w:rPr>
              <w:t>潜在供应商2</w:t>
            </w:r>
          </w:p>
        </w:tc>
        <w:tc>
          <w:tcPr>
            <w:tcW w:w="140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仿宋"/>
                <w:color w:val="auto"/>
                <w:szCs w:val="24"/>
                <w:highlight w:val="none"/>
              </w:rPr>
            </w:pPr>
            <w:r>
              <w:rPr>
                <w:rFonts w:hint="eastAsia" w:hAnsi="宋体" w:cs="仿宋"/>
                <w:color w:val="auto"/>
                <w:kern w:val="2"/>
                <w:szCs w:val="24"/>
                <w:highlight w:val="none"/>
              </w:rPr>
              <w:t>潜在供应商</w:t>
            </w:r>
            <w:r>
              <w:rPr>
                <w:rFonts w:hint="eastAsia" w:hAnsi="宋体" w:cs="仿宋"/>
                <w:color w:val="auto"/>
                <w:szCs w:val="24"/>
                <w:highlight w:val="none"/>
              </w:rPr>
              <w:t>3</w:t>
            </w:r>
          </w:p>
        </w:tc>
        <w:tc>
          <w:tcPr>
            <w:tcW w:w="11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仿宋"/>
                <w:color w:val="auto"/>
                <w:kern w:val="2"/>
                <w:szCs w:val="24"/>
                <w:highlight w:val="none"/>
              </w:rPr>
            </w:pPr>
            <w:r>
              <w:rPr>
                <w:rFonts w:hint="eastAsia" w:hAnsi="宋体" w:cs="仿宋"/>
                <w:color w:val="auto"/>
                <w:kern w:val="2"/>
                <w:szCs w:val="24"/>
                <w:highlight w:val="none"/>
              </w:rPr>
              <w:t>潜在供应商4</w:t>
            </w:r>
          </w:p>
        </w:tc>
      </w:tr>
      <w:tr>
        <w:tblPrEx>
          <w:tblCellMar>
            <w:top w:w="0" w:type="dxa"/>
            <w:left w:w="108" w:type="dxa"/>
            <w:bottom w:w="0" w:type="dxa"/>
            <w:right w:w="108" w:type="dxa"/>
          </w:tblCellMar>
        </w:tblPrEx>
        <w:trPr>
          <w:trHeight w:val="533" w:hRule="atLeast"/>
          <w:jc w:val="center"/>
        </w:trPr>
        <w:tc>
          <w:tcPr>
            <w:tcW w:w="374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仿宋"/>
                <w:color w:val="auto"/>
                <w:szCs w:val="24"/>
                <w:highlight w:val="none"/>
              </w:rPr>
            </w:pPr>
            <w:r>
              <w:rPr>
                <w:rFonts w:hint="eastAsia" w:hAnsi="宋体"/>
                <w:color w:val="auto"/>
                <w:highlight w:val="none"/>
              </w:rPr>
              <w:t>具有独立承担民事责任能力的在中华人民共和国境内注册的法人或其他组织,有独立的营业执照。</w:t>
            </w:r>
          </w:p>
        </w:tc>
        <w:tc>
          <w:tcPr>
            <w:tcW w:w="128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hAnsi="宋体" w:cs="仿宋"/>
                <w:color w:val="auto"/>
                <w:szCs w:val="24"/>
                <w:highlight w:val="none"/>
              </w:rPr>
            </w:pPr>
          </w:p>
        </w:tc>
        <w:tc>
          <w:tcPr>
            <w:tcW w:w="1403"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hAnsi="宋体" w:cs="仿宋"/>
                <w:color w:val="auto"/>
                <w:szCs w:val="24"/>
                <w:highlight w:val="none"/>
              </w:rPr>
            </w:pPr>
          </w:p>
        </w:tc>
        <w:tc>
          <w:tcPr>
            <w:tcW w:w="1402"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hAnsi="宋体" w:cs="仿宋"/>
                <w:color w:val="auto"/>
                <w:szCs w:val="24"/>
                <w:highlight w:val="none"/>
              </w:rPr>
            </w:pPr>
          </w:p>
        </w:tc>
        <w:tc>
          <w:tcPr>
            <w:tcW w:w="118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hAnsi="宋体" w:cs="仿宋"/>
                <w:color w:val="auto"/>
                <w:szCs w:val="24"/>
                <w:highlight w:val="none"/>
              </w:rPr>
            </w:pPr>
          </w:p>
        </w:tc>
      </w:tr>
      <w:tr>
        <w:tblPrEx>
          <w:tblCellMar>
            <w:top w:w="0" w:type="dxa"/>
            <w:left w:w="108" w:type="dxa"/>
            <w:bottom w:w="0" w:type="dxa"/>
            <w:right w:w="108" w:type="dxa"/>
          </w:tblCellMar>
        </w:tblPrEx>
        <w:trPr>
          <w:trHeight w:val="23" w:hRule="atLeast"/>
          <w:jc w:val="center"/>
        </w:trPr>
        <w:tc>
          <w:tcPr>
            <w:tcW w:w="374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仿宋"/>
                <w:color w:val="auto"/>
                <w:szCs w:val="24"/>
                <w:highlight w:val="none"/>
              </w:rPr>
            </w:pPr>
            <w:r>
              <w:rPr>
                <w:rFonts w:hint="eastAsia" w:hAnsi="宋体" w:cs="宋体"/>
                <w:color w:val="auto"/>
                <w:highlight w:val="none"/>
              </w:rPr>
              <w:t>具有在有效期内的《食品生产许可证》或《食品经营许可证》。</w:t>
            </w:r>
          </w:p>
        </w:tc>
        <w:tc>
          <w:tcPr>
            <w:tcW w:w="128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hAnsi="宋体" w:cs="仿宋"/>
                <w:color w:val="auto"/>
                <w:szCs w:val="24"/>
                <w:highlight w:val="none"/>
              </w:rPr>
            </w:pPr>
          </w:p>
        </w:tc>
        <w:tc>
          <w:tcPr>
            <w:tcW w:w="1403"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hAnsi="宋体" w:cs="仿宋"/>
                <w:color w:val="auto"/>
                <w:szCs w:val="24"/>
                <w:highlight w:val="none"/>
              </w:rPr>
            </w:pPr>
          </w:p>
        </w:tc>
        <w:tc>
          <w:tcPr>
            <w:tcW w:w="1402"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hAnsi="宋体" w:cs="仿宋"/>
                <w:color w:val="auto"/>
                <w:szCs w:val="24"/>
                <w:highlight w:val="none"/>
              </w:rPr>
            </w:pPr>
          </w:p>
        </w:tc>
        <w:tc>
          <w:tcPr>
            <w:tcW w:w="118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hAnsi="宋体" w:cs="仿宋"/>
                <w:color w:val="auto"/>
                <w:szCs w:val="24"/>
                <w:highlight w:val="none"/>
              </w:rPr>
            </w:pPr>
          </w:p>
        </w:tc>
      </w:tr>
      <w:tr>
        <w:tblPrEx>
          <w:tblCellMar>
            <w:top w:w="0" w:type="dxa"/>
            <w:left w:w="108" w:type="dxa"/>
            <w:bottom w:w="0" w:type="dxa"/>
            <w:right w:w="108" w:type="dxa"/>
          </w:tblCellMar>
        </w:tblPrEx>
        <w:trPr>
          <w:trHeight w:val="23" w:hRule="atLeast"/>
          <w:jc w:val="center"/>
        </w:trPr>
        <w:tc>
          <w:tcPr>
            <w:tcW w:w="374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宋体"/>
                <w:color w:val="auto"/>
                <w:highlight w:val="none"/>
              </w:rPr>
            </w:pPr>
            <w:r>
              <w:rPr>
                <w:rFonts w:hint="eastAsia" w:hAnsi="宋体" w:cs="宋体"/>
                <w:color w:val="auto"/>
                <w:highlight w:val="none"/>
              </w:rPr>
              <w:t>参选的潜在供应商为蛋糕等食品的直接生产厂家或</w:t>
            </w:r>
            <w:r>
              <w:rPr>
                <w:rFonts w:hint="eastAsia" w:ascii="宋体" w:hAnsi="宋体" w:cs="宋体"/>
                <w:color w:val="auto"/>
                <w:sz w:val="24"/>
                <w:highlight w:val="none"/>
                <w:lang w:val="en-US" w:eastAsia="zh-CN"/>
              </w:rPr>
              <w:t>有权代理销售的商家</w:t>
            </w:r>
            <w:r>
              <w:rPr>
                <w:rFonts w:hint="eastAsia" w:hAnsi="宋体" w:cs="宋体"/>
                <w:color w:val="auto"/>
                <w:highlight w:val="none"/>
              </w:rPr>
              <w:t>商家。</w:t>
            </w:r>
          </w:p>
        </w:tc>
        <w:tc>
          <w:tcPr>
            <w:tcW w:w="128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hAnsi="宋体" w:cs="仿宋"/>
                <w:color w:val="auto"/>
                <w:szCs w:val="24"/>
                <w:highlight w:val="none"/>
              </w:rPr>
            </w:pPr>
          </w:p>
        </w:tc>
        <w:tc>
          <w:tcPr>
            <w:tcW w:w="1403"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hAnsi="宋体" w:cs="仿宋"/>
                <w:color w:val="auto"/>
                <w:szCs w:val="24"/>
                <w:highlight w:val="none"/>
              </w:rPr>
            </w:pPr>
          </w:p>
        </w:tc>
        <w:tc>
          <w:tcPr>
            <w:tcW w:w="1402"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hAnsi="宋体" w:cs="仿宋"/>
                <w:color w:val="auto"/>
                <w:szCs w:val="24"/>
                <w:highlight w:val="none"/>
              </w:rPr>
            </w:pPr>
          </w:p>
        </w:tc>
        <w:tc>
          <w:tcPr>
            <w:tcW w:w="118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hAnsi="宋体" w:cs="仿宋"/>
                <w:color w:val="auto"/>
                <w:szCs w:val="24"/>
                <w:highlight w:val="none"/>
              </w:rPr>
            </w:pPr>
          </w:p>
        </w:tc>
      </w:tr>
      <w:tr>
        <w:tblPrEx>
          <w:tblCellMar>
            <w:top w:w="0" w:type="dxa"/>
            <w:left w:w="108" w:type="dxa"/>
            <w:bottom w:w="0" w:type="dxa"/>
            <w:right w:w="108" w:type="dxa"/>
          </w:tblCellMar>
        </w:tblPrEx>
        <w:trPr>
          <w:trHeight w:val="23" w:hRule="atLeast"/>
          <w:jc w:val="center"/>
        </w:trPr>
        <w:tc>
          <w:tcPr>
            <w:tcW w:w="374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eastAsia="宋体" w:cs="仿宋"/>
                <w:color w:val="auto"/>
                <w:szCs w:val="24"/>
                <w:highlight w:val="none"/>
                <w:lang w:eastAsia="zh-CN"/>
              </w:rPr>
            </w:pPr>
            <w:r>
              <w:rPr>
                <w:rFonts w:hint="eastAsia" w:hAnsi="宋体" w:cs="仿宋"/>
                <w:color w:val="auto"/>
                <w:highlight w:val="none"/>
                <w:lang w:val="en-US" w:eastAsia="zh-CN"/>
              </w:rPr>
              <w:t>参</w:t>
            </w:r>
            <w:r>
              <w:rPr>
                <w:rFonts w:hint="eastAsia" w:hAnsi="宋体" w:cs="仿宋"/>
                <w:color w:val="auto"/>
                <w:highlight w:val="none"/>
              </w:rPr>
              <w:t>选文件资料</w:t>
            </w:r>
            <w:r>
              <w:rPr>
                <w:rFonts w:hint="eastAsia" w:hAnsi="宋体" w:cs="仿宋"/>
                <w:color w:val="auto"/>
                <w:highlight w:val="none"/>
                <w:lang w:val="en-US" w:eastAsia="zh-CN"/>
              </w:rPr>
              <w:t>完整</w:t>
            </w:r>
            <w:r>
              <w:rPr>
                <w:rFonts w:hint="eastAsia" w:hAnsi="宋体" w:cs="仿宋"/>
                <w:color w:val="auto"/>
                <w:highlight w:val="none"/>
              </w:rPr>
              <w:t>。</w:t>
            </w:r>
          </w:p>
        </w:tc>
        <w:tc>
          <w:tcPr>
            <w:tcW w:w="128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hAnsi="宋体" w:cs="仿宋"/>
                <w:color w:val="auto"/>
                <w:szCs w:val="24"/>
                <w:highlight w:val="none"/>
              </w:rPr>
            </w:pPr>
          </w:p>
        </w:tc>
        <w:tc>
          <w:tcPr>
            <w:tcW w:w="1403"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hAnsi="宋体" w:cs="仿宋"/>
                <w:color w:val="auto"/>
                <w:szCs w:val="24"/>
                <w:highlight w:val="none"/>
              </w:rPr>
            </w:pPr>
          </w:p>
        </w:tc>
        <w:tc>
          <w:tcPr>
            <w:tcW w:w="1402"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hAnsi="宋体" w:cs="仿宋"/>
                <w:color w:val="auto"/>
                <w:szCs w:val="24"/>
                <w:highlight w:val="none"/>
              </w:rPr>
            </w:pPr>
          </w:p>
        </w:tc>
        <w:tc>
          <w:tcPr>
            <w:tcW w:w="118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hAnsi="宋体" w:cs="仿宋"/>
                <w:color w:val="auto"/>
                <w:szCs w:val="24"/>
                <w:highlight w:val="none"/>
              </w:rPr>
            </w:pPr>
          </w:p>
        </w:tc>
      </w:tr>
      <w:tr>
        <w:tblPrEx>
          <w:tblCellMar>
            <w:top w:w="0" w:type="dxa"/>
            <w:left w:w="108" w:type="dxa"/>
            <w:bottom w:w="0" w:type="dxa"/>
            <w:right w:w="108" w:type="dxa"/>
          </w:tblCellMar>
        </w:tblPrEx>
        <w:trPr>
          <w:trHeight w:val="23" w:hRule="atLeast"/>
          <w:jc w:val="center"/>
        </w:trPr>
        <w:tc>
          <w:tcPr>
            <w:tcW w:w="374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仿宋"/>
                <w:color w:val="auto"/>
                <w:szCs w:val="24"/>
                <w:highlight w:val="none"/>
              </w:rPr>
            </w:pPr>
            <w:r>
              <w:rPr>
                <w:rFonts w:hint="eastAsia" w:hAnsi="宋体" w:cs="仿宋"/>
                <w:color w:val="auto"/>
                <w:highlight w:val="none"/>
              </w:rPr>
              <w:t>供应商未被列入“信用中国”网站(</w:t>
            </w:r>
            <w:r>
              <w:rPr>
                <w:rFonts w:hAnsi="宋体" w:cs="仿宋"/>
                <w:color w:val="auto"/>
                <w:highlight w:val="none"/>
              </w:rPr>
              <w:fldChar w:fldCharType="begin"/>
            </w:r>
            <w:r>
              <w:rPr>
                <w:rFonts w:hAnsi="宋体" w:cs="仿宋"/>
                <w:color w:val="auto"/>
                <w:highlight w:val="none"/>
              </w:rPr>
              <w:instrText xml:space="preserve"> HYPERLINK "http://</w:instrText>
            </w:r>
            <w:r>
              <w:rPr>
                <w:rFonts w:hint="eastAsia" w:hAnsi="宋体" w:cs="仿宋"/>
                <w:color w:val="auto"/>
                <w:highlight w:val="none"/>
              </w:rPr>
              <w:instrText xml:space="preserve">www.creditchina.gov.cn</w:instrText>
            </w:r>
            <w:r>
              <w:rPr>
                <w:rFonts w:hAnsi="宋体" w:cs="仿宋"/>
                <w:color w:val="auto"/>
                <w:highlight w:val="none"/>
              </w:rPr>
              <w:instrText xml:space="preserve">" </w:instrText>
            </w:r>
            <w:r>
              <w:rPr>
                <w:rFonts w:hAnsi="宋体" w:cs="仿宋"/>
                <w:color w:val="auto"/>
                <w:highlight w:val="none"/>
              </w:rPr>
              <w:fldChar w:fldCharType="separate"/>
            </w:r>
            <w:r>
              <w:rPr>
                <w:rStyle w:val="10"/>
                <w:rFonts w:hint="eastAsia" w:ascii="宋体" w:hAnsi="宋体" w:eastAsia="宋体" w:cs="仿宋"/>
                <w:color w:val="auto"/>
                <w:highlight w:val="none"/>
              </w:rPr>
              <w:t>www.creditchina.gov.cn</w:t>
            </w:r>
            <w:r>
              <w:rPr>
                <w:rFonts w:hAnsi="宋体" w:cs="仿宋"/>
                <w:color w:val="auto"/>
                <w:highlight w:val="none"/>
              </w:rPr>
              <w:fldChar w:fldCharType="end"/>
            </w:r>
            <w:r>
              <w:rPr>
                <w:rFonts w:hint="eastAsia" w:hAnsi="宋体" w:cs="仿宋"/>
                <w:color w:val="auto"/>
                <w:highlight w:val="none"/>
              </w:rPr>
              <w:t>)列为记录失信被执行人、重大税收违法案件当事人名单、政府采购严重违法失信行为等情形。同时，在中国政府采购网(www.ccgp.gov.cn)中查询没有处于禁止参加政府采购活动的记录名单。</w:t>
            </w:r>
          </w:p>
        </w:tc>
        <w:tc>
          <w:tcPr>
            <w:tcW w:w="128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hAnsi="宋体" w:cs="仿宋"/>
                <w:color w:val="auto"/>
                <w:szCs w:val="24"/>
                <w:highlight w:val="none"/>
              </w:rPr>
            </w:pPr>
          </w:p>
        </w:tc>
        <w:tc>
          <w:tcPr>
            <w:tcW w:w="1403"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hAnsi="宋体" w:cs="仿宋"/>
                <w:color w:val="auto"/>
                <w:szCs w:val="24"/>
                <w:highlight w:val="none"/>
              </w:rPr>
            </w:pPr>
          </w:p>
        </w:tc>
        <w:tc>
          <w:tcPr>
            <w:tcW w:w="1402"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hAnsi="宋体" w:cs="仿宋"/>
                <w:color w:val="auto"/>
                <w:szCs w:val="24"/>
                <w:highlight w:val="none"/>
              </w:rPr>
            </w:pPr>
          </w:p>
        </w:tc>
        <w:tc>
          <w:tcPr>
            <w:tcW w:w="118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hAnsi="宋体" w:cs="仿宋"/>
                <w:color w:val="auto"/>
                <w:szCs w:val="24"/>
                <w:highlight w:val="none"/>
              </w:rPr>
            </w:pPr>
          </w:p>
        </w:tc>
      </w:tr>
      <w:tr>
        <w:tblPrEx>
          <w:tblCellMar>
            <w:top w:w="0" w:type="dxa"/>
            <w:left w:w="108" w:type="dxa"/>
            <w:bottom w:w="0" w:type="dxa"/>
            <w:right w:w="108" w:type="dxa"/>
          </w:tblCellMar>
        </w:tblPrEx>
        <w:trPr>
          <w:trHeight w:val="366" w:hRule="atLeast"/>
          <w:jc w:val="center"/>
        </w:trPr>
        <w:tc>
          <w:tcPr>
            <w:tcW w:w="374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仿宋"/>
                <w:color w:val="auto"/>
                <w:szCs w:val="24"/>
                <w:highlight w:val="none"/>
              </w:rPr>
            </w:pPr>
            <w:r>
              <w:rPr>
                <w:rFonts w:hint="eastAsia" w:hAnsi="宋体" w:cs="仿宋"/>
                <w:bCs/>
                <w:color w:val="auto"/>
                <w:highlight w:val="none"/>
              </w:rPr>
              <w:t>为非联合体报价。</w:t>
            </w:r>
          </w:p>
        </w:tc>
        <w:tc>
          <w:tcPr>
            <w:tcW w:w="128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hAnsi="宋体" w:cs="仿宋"/>
                <w:color w:val="auto"/>
                <w:szCs w:val="24"/>
                <w:highlight w:val="none"/>
              </w:rPr>
            </w:pPr>
          </w:p>
        </w:tc>
        <w:tc>
          <w:tcPr>
            <w:tcW w:w="1403"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hAnsi="宋体" w:cs="仿宋"/>
                <w:color w:val="auto"/>
                <w:szCs w:val="24"/>
                <w:highlight w:val="none"/>
              </w:rPr>
            </w:pPr>
          </w:p>
        </w:tc>
        <w:tc>
          <w:tcPr>
            <w:tcW w:w="1402"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hAnsi="宋体" w:cs="仿宋"/>
                <w:color w:val="auto"/>
                <w:szCs w:val="24"/>
                <w:highlight w:val="none"/>
              </w:rPr>
            </w:pPr>
          </w:p>
        </w:tc>
        <w:tc>
          <w:tcPr>
            <w:tcW w:w="118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hAnsi="宋体" w:cs="仿宋"/>
                <w:color w:val="auto"/>
                <w:szCs w:val="24"/>
                <w:highlight w:val="none"/>
              </w:rPr>
            </w:pPr>
          </w:p>
        </w:tc>
      </w:tr>
      <w:tr>
        <w:tblPrEx>
          <w:tblCellMar>
            <w:top w:w="0" w:type="dxa"/>
            <w:left w:w="108" w:type="dxa"/>
            <w:bottom w:w="0" w:type="dxa"/>
            <w:right w:w="108" w:type="dxa"/>
          </w:tblCellMar>
        </w:tblPrEx>
        <w:trPr>
          <w:trHeight w:val="112" w:hRule="atLeast"/>
          <w:jc w:val="center"/>
        </w:trPr>
        <w:tc>
          <w:tcPr>
            <w:tcW w:w="374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仿宋"/>
                <w:bCs/>
                <w:color w:val="auto"/>
                <w:highlight w:val="none"/>
              </w:rPr>
            </w:pPr>
            <w:r>
              <w:rPr>
                <w:rFonts w:hint="eastAsia" w:ascii="宋体" w:hAnsi="宋体" w:eastAsia="宋体" w:cs="宋体"/>
                <w:b w:val="0"/>
                <w:bCs w:val="0"/>
                <w:color w:val="auto"/>
                <w:kern w:val="2"/>
                <w:szCs w:val="24"/>
                <w:highlight w:val="none"/>
                <w:lang w:val="zh-CN" w:eastAsia="zh-CN"/>
              </w:rPr>
              <w:t>一次报出唯一固定的价格，生日卡可用金额不低于320元/张，生日卡采购价不高于300元/张，</w:t>
            </w:r>
            <w:r>
              <w:rPr>
                <w:rFonts w:hint="eastAsia" w:ascii="宋体" w:hAnsi="宋体" w:eastAsia="宋体" w:cs="宋体"/>
                <w:b w:val="0"/>
                <w:bCs w:val="0"/>
                <w:color w:val="auto"/>
                <w:kern w:val="2"/>
                <w:szCs w:val="24"/>
                <w:highlight w:val="none"/>
                <w:lang w:val="en-US" w:eastAsia="zh-CN"/>
              </w:rPr>
              <w:t>未</w:t>
            </w:r>
            <w:r>
              <w:rPr>
                <w:rFonts w:hint="eastAsia" w:ascii="宋体" w:hAnsi="宋体" w:eastAsia="宋体" w:cs="宋体"/>
                <w:b w:val="0"/>
                <w:bCs w:val="0"/>
                <w:color w:val="auto"/>
                <w:kern w:val="2"/>
                <w:szCs w:val="24"/>
                <w:highlight w:val="none"/>
                <w:lang w:val="zh-CN" w:eastAsia="zh-CN"/>
              </w:rPr>
              <w:t>突破此标准进行报价。</w:t>
            </w:r>
          </w:p>
        </w:tc>
        <w:tc>
          <w:tcPr>
            <w:tcW w:w="128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hAnsi="宋体" w:cs="仿宋"/>
                <w:color w:val="auto"/>
                <w:szCs w:val="24"/>
                <w:highlight w:val="none"/>
              </w:rPr>
            </w:pPr>
          </w:p>
        </w:tc>
        <w:tc>
          <w:tcPr>
            <w:tcW w:w="1403"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hAnsi="宋体" w:cs="仿宋"/>
                <w:color w:val="auto"/>
                <w:szCs w:val="24"/>
                <w:highlight w:val="none"/>
              </w:rPr>
            </w:pPr>
          </w:p>
        </w:tc>
        <w:tc>
          <w:tcPr>
            <w:tcW w:w="1402"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hAnsi="宋体" w:cs="仿宋"/>
                <w:color w:val="auto"/>
                <w:szCs w:val="24"/>
                <w:highlight w:val="none"/>
              </w:rPr>
            </w:pPr>
          </w:p>
        </w:tc>
        <w:tc>
          <w:tcPr>
            <w:tcW w:w="118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hAnsi="宋体" w:cs="仿宋"/>
                <w:color w:val="auto"/>
                <w:szCs w:val="24"/>
                <w:highlight w:val="none"/>
              </w:rPr>
            </w:pPr>
          </w:p>
        </w:tc>
      </w:tr>
      <w:tr>
        <w:tblPrEx>
          <w:tblCellMar>
            <w:top w:w="0" w:type="dxa"/>
            <w:left w:w="108" w:type="dxa"/>
            <w:bottom w:w="0" w:type="dxa"/>
            <w:right w:w="108" w:type="dxa"/>
          </w:tblCellMar>
        </w:tblPrEx>
        <w:trPr>
          <w:trHeight w:val="23" w:hRule="atLeast"/>
          <w:jc w:val="center"/>
        </w:trPr>
        <w:tc>
          <w:tcPr>
            <w:tcW w:w="374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仿宋"/>
                <w:color w:val="auto"/>
                <w:kern w:val="2"/>
                <w:szCs w:val="24"/>
                <w:highlight w:val="none"/>
              </w:rPr>
            </w:pPr>
            <w:r>
              <w:rPr>
                <w:rFonts w:hint="eastAsia" w:hAnsi="宋体"/>
                <w:b/>
                <w:color w:val="auto"/>
                <w:szCs w:val="21"/>
                <w:highlight w:val="none"/>
              </w:rPr>
              <w:t>是否同意进入下一阶段评议</w:t>
            </w:r>
          </w:p>
        </w:tc>
        <w:tc>
          <w:tcPr>
            <w:tcW w:w="128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hAnsi="宋体" w:cs="仿宋"/>
                <w:color w:val="auto"/>
                <w:szCs w:val="24"/>
                <w:highlight w:val="none"/>
              </w:rPr>
            </w:pPr>
          </w:p>
        </w:tc>
        <w:tc>
          <w:tcPr>
            <w:tcW w:w="1403"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hAnsi="宋体" w:cs="仿宋"/>
                <w:color w:val="auto"/>
                <w:szCs w:val="24"/>
                <w:highlight w:val="none"/>
              </w:rPr>
            </w:pPr>
          </w:p>
        </w:tc>
        <w:tc>
          <w:tcPr>
            <w:tcW w:w="1402"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hAnsi="宋体" w:cs="仿宋"/>
                <w:color w:val="auto"/>
                <w:szCs w:val="24"/>
                <w:highlight w:val="none"/>
              </w:rPr>
            </w:pPr>
          </w:p>
        </w:tc>
        <w:tc>
          <w:tcPr>
            <w:tcW w:w="118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hAnsi="宋体" w:cs="仿宋"/>
                <w:color w:val="auto"/>
                <w:szCs w:val="24"/>
                <w:highlight w:val="none"/>
              </w:rPr>
            </w:pPr>
          </w:p>
        </w:tc>
      </w:tr>
      <w:tr>
        <w:tblPrEx>
          <w:tblCellMar>
            <w:top w:w="0" w:type="dxa"/>
            <w:left w:w="108" w:type="dxa"/>
            <w:bottom w:w="0" w:type="dxa"/>
            <w:right w:w="108" w:type="dxa"/>
          </w:tblCellMar>
        </w:tblPrEx>
        <w:trPr>
          <w:trHeight w:val="23" w:hRule="atLeast"/>
          <w:jc w:val="center"/>
        </w:trPr>
        <w:tc>
          <w:tcPr>
            <w:tcW w:w="9013" w:type="dxa"/>
            <w:gridSpan w:val="5"/>
            <w:tcBorders>
              <w:top w:val="single" w:color="auto" w:sz="4" w:space="0"/>
              <w:left w:val="single" w:color="auto" w:sz="4" w:space="0"/>
              <w:bottom w:val="single" w:color="auto" w:sz="4" w:space="0"/>
              <w:right w:val="single" w:color="auto" w:sz="4" w:space="0"/>
            </w:tcBorders>
            <w:noWrap w:val="0"/>
            <w:vAlign w:val="center"/>
          </w:tcPr>
          <w:p>
            <w:pPr>
              <w:spacing w:line="460" w:lineRule="exact"/>
              <w:rPr>
                <w:rFonts w:hint="eastAsia" w:hAnsi="宋体" w:eastAsia="宋体"/>
                <w:color w:val="auto"/>
                <w:szCs w:val="21"/>
                <w:highlight w:val="none"/>
                <w:lang w:eastAsia="zh-CN"/>
              </w:rPr>
            </w:pPr>
            <w:r>
              <w:rPr>
                <w:rFonts w:hint="eastAsia" w:hAnsi="宋体" w:cs="仿宋"/>
                <w:color w:val="auto"/>
                <w:szCs w:val="24"/>
                <w:highlight w:val="none"/>
              </w:rPr>
              <w:t>注：1.每一项目符合的打“○”，不符合的打“×”，</w:t>
            </w:r>
            <w:r>
              <w:rPr>
                <w:rFonts w:hint="eastAsia" w:hAnsi="宋体"/>
                <w:color w:val="auto"/>
                <w:szCs w:val="21"/>
                <w:highlight w:val="none"/>
              </w:rPr>
              <w:t>出现一个“×”的结论为不通过</w:t>
            </w:r>
            <w:r>
              <w:rPr>
                <w:rFonts w:hint="eastAsia" w:hAnsi="宋体"/>
                <w:color w:val="auto"/>
                <w:szCs w:val="21"/>
                <w:highlight w:val="none"/>
                <w:lang w:eastAsia="zh-CN"/>
              </w:rPr>
              <w:t>。</w:t>
            </w:r>
          </w:p>
          <w:p>
            <w:pPr>
              <w:spacing w:line="360" w:lineRule="auto"/>
              <w:rPr>
                <w:rFonts w:hint="eastAsia" w:hAnsi="宋体" w:cs="仿宋"/>
                <w:color w:val="auto"/>
                <w:szCs w:val="24"/>
                <w:highlight w:val="none"/>
              </w:rPr>
            </w:pPr>
            <w:r>
              <w:rPr>
                <w:rFonts w:hint="eastAsia" w:hAnsi="宋体" w:cs="仿宋"/>
                <w:color w:val="auto"/>
                <w:szCs w:val="24"/>
                <w:highlight w:val="none"/>
              </w:rPr>
              <w:t>2.</w:t>
            </w:r>
            <w:r>
              <w:rPr>
                <w:rFonts w:hint="eastAsia" w:hAnsi="宋体"/>
                <w:color w:val="auto"/>
                <w:szCs w:val="21"/>
                <w:highlight w:val="none"/>
              </w:rPr>
              <w:t xml:space="preserve"> 表中全部条件满足为通过, 同意进入下一阶段评议</w:t>
            </w:r>
            <w:r>
              <w:rPr>
                <w:rFonts w:hint="eastAsia" w:hAnsi="宋体" w:cs="仿宋"/>
                <w:color w:val="auto"/>
                <w:szCs w:val="24"/>
                <w:highlight w:val="none"/>
              </w:rPr>
              <w:t>。</w:t>
            </w:r>
          </w:p>
          <w:p>
            <w:pPr>
              <w:spacing w:line="360" w:lineRule="auto"/>
              <w:rPr>
                <w:rFonts w:hint="eastAsia" w:hAnsi="宋体" w:cs="仿宋"/>
                <w:color w:val="auto"/>
                <w:szCs w:val="24"/>
                <w:highlight w:val="none"/>
              </w:rPr>
            </w:pPr>
            <w:r>
              <w:rPr>
                <w:rFonts w:hint="eastAsia" w:hAnsi="宋体" w:cs="仿宋"/>
                <w:color w:val="auto"/>
                <w:szCs w:val="24"/>
                <w:highlight w:val="none"/>
              </w:rPr>
              <w:t>3.</w:t>
            </w:r>
            <w:r>
              <w:rPr>
                <w:rFonts w:hint="eastAsia" w:hAnsi="宋体"/>
                <w:color w:val="auto"/>
                <w:szCs w:val="21"/>
                <w:highlight w:val="none"/>
              </w:rPr>
              <w:t xml:space="preserve"> 是否同意进入下一阶段评议一栏中应写 “是”或“否”</w:t>
            </w:r>
            <w:r>
              <w:rPr>
                <w:rFonts w:hint="eastAsia" w:hAnsi="宋体" w:cs="仿宋"/>
                <w:color w:val="auto"/>
                <w:szCs w:val="24"/>
                <w:highlight w:val="none"/>
              </w:rPr>
              <w:t>。</w:t>
            </w:r>
          </w:p>
        </w:tc>
      </w:tr>
    </w:tbl>
    <w:p>
      <w:pPr>
        <w:pStyle w:val="7"/>
        <w:rPr>
          <w:rFonts w:hint="eastAsia"/>
          <w:color w:val="auto"/>
          <w:sz w:val="24"/>
          <w:szCs w:val="24"/>
          <w:highlight w:val="none"/>
        </w:rPr>
      </w:pPr>
      <w:r>
        <w:rPr>
          <w:rFonts w:hint="eastAsia"/>
          <w:color w:val="auto"/>
          <w:sz w:val="24"/>
          <w:szCs w:val="24"/>
          <w:highlight w:val="none"/>
        </w:rPr>
        <w:t>评委签名：</w:t>
      </w:r>
    </w:p>
    <w:p>
      <w:pPr>
        <w:spacing w:line="460" w:lineRule="exact"/>
        <w:rPr>
          <w:rFonts w:hint="eastAsia" w:hAnsi="宋体"/>
          <w:color w:val="auto"/>
          <w:szCs w:val="24"/>
          <w:highlight w:val="none"/>
        </w:rPr>
      </w:pPr>
      <w:r>
        <w:rPr>
          <w:rFonts w:hint="eastAsia" w:hAnsi="宋体"/>
          <w:color w:val="auto"/>
          <w:szCs w:val="24"/>
          <w:highlight w:val="none"/>
        </w:rPr>
        <w:t>日    期：</w:t>
      </w:r>
    </w:p>
    <w:p>
      <w:pPr>
        <w:spacing w:line="460" w:lineRule="exact"/>
        <w:rPr>
          <w:rFonts w:hint="eastAsia" w:hAnsi="宋体" w:cs="仿宋"/>
          <w:color w:val="auto"/>
          <w:szCs w:val="24"/>
          <w:highlight w:val="none"/>
        </w:rPr>
      </w:pPr>
      <w:r>
        <w:rPr>
          <w:rFonts w:hint="eastAsia" w:hAnsi="宋体" w:cs="仿宋"/>
          <w:bCs/>
          <w:color w:val="auto"/>
          <w:szCs w:val="24"/>
          <w:highlight w:val="none"/>
        </w:rPr>
        <w:t>（</w:t>
      </w:r>
      <w:r>
        <w:rPr>
          <w:rFonts w:hint="eastAsia" w:hAnsi="宋体" w:cs="仿宋"/>
          <w:color w:val="auto"/>
          <w:szCs w:val="24"/>
          <w:highlight w:val="none"/>
        </w:rPr>
        <w:t>三）潜在供应商商务</w:t>
      </w:r>
      <w:r>
        <w:rPr>
          <w:rFonts w:hint="eastAsia" w:hAnsi="宋体" w:cs="仿宋"/>
          <w:color w:val="auto"/>
          <w:szCs w:val="24"/>
          <w:highlight w:val="none"/>
          <w:lang w:val="en-US" w:eastAsia="zh-CN"/>
        </w:rPr>
        <w:t>技术</w:t>
      </w:r>
      <w:r>
        <w:rPr>
          <w:rFonts w:hint="eastAsia" w:hAnsi="宋体" w:cs="仿宋"/>
          <w:color w:val="auto"/>
          <w:szCs w:val="24"/>
          <w:highlight w:val="none"/>
        </w:rPr>
        <w:t>评审标准。</w:t>
      </w:r>
    </w:p>
    <w:p>
      <w:pPr>
        <w:pStyle w:val="3"/>
        <w:rPr>
          <w:rFonts w:hint="eastAsia"/>
          <w:color w:val="auto"/>
          <w:sz w:val="24"/>
          <w:highlight w:val="none"/>
        </w:rPr>
      </w:pPr>
      <w:r>
        <w:rPr>
          <w:rFonts w:hint="eastAsia"/>
          <w:color w:val="auto"/>
          <w:sz w:val="24"/>
          <w:highlight w:val="none"/>
        </w:rPr>
        <w:t xml:space="preserve">      1、价格评审</w:t>
      </w:r>
    </w:p>
    <w:p>
      <w:pPr>
        <w:pStyle w:val="3"/>
        <w:ind w:firstLine="840" w:firstLineChars="350"/>
        <w:rPr>
          <w:rFonts w:hint="eastAsia" w:ascii="宋体" w:hAnsi="宋体" w:eastAsia="宋体" w:cs="宋体"/>
          <w:color w:val="auto"/>
          <w:kern w:val="0"/>
          <w:sz w:val="24"/>
          <w:szCs w:val="24"/>
          <w:highlight w:val="none"/>
          <w:u w:val="none"/>
        </w:rPr>
      </w:pPr>
      <w:r>
        <w:rPr>
          <w:rFonts w:hint="eastAsia" w:hAnsi="Times New Roman" w:eastAsia="宋体" w:cs="Times New Roman"/>
          <w:color w:val="auto"/>
          <w:sz w:val="24"/>
          <w:highlight w:val="none"/>
        </w:rPr>
        <w:t>提供</w:t>
      </w:r>
      <w:r>
        <w:rPr>
          <w:rFonts w:hint="eastAsia" w:ascii="Times New Roman" w:hAnsi="Times New Roman" w:eastAsia="宋体" w:cs="Times New Roman"/>
          <w:color w:val="auto"/>
          <w:sz w:val="24"/>
          <w:highlight w:val="none"/>
          <w:shd w:val="clear" w:color="auto" w:fill="auto"/>
        </w:rPr>
        <w:t>生日</w:t>
      </w:r>
      <w:r>
        <w:rPr>
          <w:rFonts w:hint="eastAsia" w:hAnsi="Times New Roman" w:eastAsia="宋体" w:cs="Times New Roman"/>
          <w:color w:val="auto"/>
          <w:sz w:val="24"/>
          <w:highlight w:val="none"/>
          <w:shd w:val="clear" w:color="auto" w:fill="auto"/>
        </w:rPr>
        <w:t>卡</w:t>
      </w:r>
      <w:r>
        <w:rPr>
          <w:rFonts w:hint="eastAsia" w:hAnsi="Times New Roman" w:eastAsia="宋体" w:cs="Times New Roman"/>
          <w:color w:val="auto"/>
          <w:sz w:val="24"/>
          <w:highlight w:val="none"/>
          <w:lang w:val="en-US" w:eastAsia="zh-CN"/>
        </w:rPr>
        <w:t>可用金额为</w:t>
      </w:r>
      <w:r>
        <w:rPr>
          <w:rFonts w:hint="eastAsia" w:hAnsi="Times New Roman" w:eastAsia="宋体" w:cs="Times New Roman"/>
          <w:color w:val="auto"/>
          <w:sz w:val="24"/>
          <w:highlight w:val="none"/>
          <w:u w:val="single"/>
        </w:rPr>
        <w:t xml:space="preserve">       </w:t>
      </w:r>
      <w:r>
        <w:rPr>
          <w:rFonts w:hint="eastAsia" w:hAnsi="Times New Roman" w:eastAsia="宋体" w:cs="Times New Roman"/>
          <w:color w:val="auto"/>
          <w:sz w:val="24"/>
          <w:highlight w:val="none"/>
          <w:u w:val="none"/>
        </w:rPr>
        <w:t>元</w:t>
      </w:r>
      <w:r>
        <w:rPr>
          <w:rFonts w:hint="eastAsia" w:hAnsi="Times New Roman" w:eastAsia="宋体" w:cs="Times New Roman"/>
          <w:color w:val="auto"/>
          <w:sz w:val="24"/>
          <w:highlight w:val="none"/>
          <w:u w:val="none"/>
          <w:lang w:val="en-US" w:eastAsia="zh-CN"/>
        </w:rPr>
        <w:t>/张</w:t>
      </w:r>
      <w:r>
        <w:rPr>
          <w:rFonts w:hint="eastAsia" w:hAnsi="Times New Roman" w:eastAsia="宋体" w:cs="Times New Roman"/>
          <w:color w:val="auto"/>
          <w:sz w:val="24"/>
          <w:highlight w:val="none"/>
          <w:lang w:val="en-US" w:eastAsia="zh-CN"/>
        </w:rPr>
        <w:t>，</w:t>
      </w:r>
      <w:r>
        <w:rPr>
          <w:rFonts w:hint="eastAsia" w:hAnsi="Times New Roman" w:eastAsia="宋体" w:cs="Times New Roman"/>
          <w:color w:val="auto"/>
          <w:sz w:val="24"/>
          <w:highlight w:val="none"/>
          <w:shd w:val="clear" w:color="auto" w:fill="auto"/>
          <w:lang w:val="en-US" w:eastAsia="zh-CN"/>
        </w:rPr>
        <w:t>价格为</w:t>
      </w:r>
      <w:r>
        <w:rPr>
          <w:rFonts w:hint="eastAsia" w:hAnsi="Times New Roman" w:eastAsia="宋体" w:cs="Times New Roman"/>
          <w:color w:val="auto"/>
          <w:sz w:val="24"/>
          <w:highlight w:val="none"/>
          <w:u w:val="single"/>
        </w:rPr>
        <w:t xml:space="preserve">       </w:t>
      </w:r>
      <w:r>
        <w:rPr>
          <w:rFonts w:hint="eastAsia" w:hAnsi="Times New Roman" w:eastAsia="宋体" w:cs="Times New Roman"/>
          <w:color w:val="auto"/>
          <w:sz w:val="24"/>
          <w:highlight w:val="none"/>
          <w:u w:val="none"/>
        </w:rPr>
        <w:t>元</w:t>
      </w:r>
      <w:r>
        <w:rPr>
          <w:rFonts w:hint="eastAsia" w:hAnsi="Times New Roman" w:eastAsia="宋体" w:cs="Times New Roman"/>
          <w:color w:val="auto"/>
          <w:sz w:val="24"/>
          <w:highlight w:val="none"/>
          <w:u w:val="none"/>
          <w:lang w:val="en-US" w:eastAsia="zh-CN"/>
        </w:rPr>
        <w:t>/张</w:t>
      </w:r>
      <w:r>
        <w:rPr>
          <w:rFonts w:hint="eastAsia" w:hAnsi="Times New Roman" w:eastAsia="宋体" w:cs="Times New Roman"/>
          <w:color w:val="auto"/>
          <w:sz w:val="24"/>
          <w:highlight w:val="none"/>
          <w:u w:val="none"/>
        </w:rPr>
        <w:t>。</w:t>
      </w:r>
    </w:p>
    <w:p>
      <w:pPr>
        <w:ind w:firstLine="480" w:firstLineChars="200"/>
        <w:rPr>
          <w:rFonts w:hint="eastAsia"/>
          <w:color w:val="auto"/>
          <w:szCs w:val="24"/>
          <w:highlight w:val="none"/>
          <w:u w:val="single"/>
        </w:rPr>
      </w:pPr>
      <w:r>
        <w:rPr>
          <w:rFonts w:hint="eastAsia" w:ascii="宋体" w:hAnsi="宋体" w:cs="宋体"/>
          <w:color w:val="auto"/>
          <w:szCs w:val="24"/>
          <w:highlight w:val="none"/>
        </w:rPr>
        <w:t>价格评分：对通过符合性审查的参评单位</w:t>
      </w:r>
      <w:r>
        <w:rPr>
          <w:rFonts w:hint="eastAsia" w:hAnsi="宋体" w:cs="宋体"/>
          <w:color w:val="auto"/>
          <w:szCs w:val="24"/>
          <w:highlight w:val="none"/>
          <w:lang w:val="en-US" w:eastAsia="zh-CN"/>
        </w:rPr>
        <w:t>所投</w:t>
      </w:r>
      <w:r>
        <w:rPr>
          <w:rFonts w:hint="eastAsia" w:ascii="宋体" w:hAnsi="宋体" w:cs="宋体"/>
          <w:color w:val="auto"/>
          <w:szCs w:val="24"/>
          <w:highlight w:val="none"/>
        </w:rPr>
        <w:t>价格进行评分，</w:t>
      </w:r>
      <w:r>
        <w:rPr>
          <w:rFonts w:hint="eastAsia" w:ascii="宋体" w:hAnsi="宋体" w:cs="宋体"/>
          <w:color w:val="auto"/>
          <w:szCs w:val="24"/>
          <w:highlight w:val="none"/>
          <w:lang w:val="en-US" w:eastAsia="zh-CN"/>
        </w:rPr>
        <w:t>生日卡</w:t>
      </w:r>
      <w:r>
        <w:rPr>
          <w:rFonts w:hint="eastAsia" w:hAnsi="宋体" w:cs="宋体"/>
          <w:color w:val="auto"/>
          <w:szCs w:val="24"/>
          <w:highlight w:val="none"/>
          <w:lang w:val="en-US" w:eastAsia="zh-CN"/>
        </w:rPr>
        <w:t>可用</w:t>
      </w:r>
      <w:r>
        <w:rPr>
          <w:rFonts w:hint="eastAsia" w:ascii="宋体" w:hAnsi="宋体" w:cs="宋体"/>
          <w:color w:val="auto"/>
          <w:szCs w:val="24"/>
          <w:highlight w:val="none"/>
        </w:rPr>
        <w:t>金额</w:t>
      </w:r>
      <w:r>
        <w:rPr>
          <w:rFonts w:hint="eastAsia" w:hAnsi="宋体" w:cs="宋体"/>
          <w:color w:val="auto"/>
          <w:szCs w:val="24"/>
          <w:highlight w:val="none"/>
          <w:lang w:val="en-US" w:eastAsia="zh-CN"/>
        </w:rPr>
        <w:t>最低为</w:t>
      </w:r>
      <w:r>
        <w:rPr>
          <w:rFonts w:hint="eastAsia" w:ascii="宋体" w:hAnsi="宋体" w:cs="宋体"/>
          <w:color w:val="auto"/>
          <w:szCs w:val="24"/>
          <w:highlight w:val="none"/>
        </w:rPr>
        <w:t>320元</w:t>
      </w:r>
      <w:r>
        <w:rPr>
          <w:rFonts w:hint="eastAsia" w:hAnsi="宋体" w:cs="宋体"/>
          <w:color w:val="auto"/>
          <w:szCs w:val="24"/>
          <w:highlight w:val="none"/>
          <w:lang w:val="en-US" w:eastAsia="zh-CN"/>
        </w:rPr>
        <w:t>/张</w:t>
      </w:r>
      <w:r>
        <w:rPr>
          <w:rFonts w:hint="eastAsia" w:hAnsi="宋体" w:cs="宋体"/>
          <w:color w:val="auto"/>
          <w:szCs w:val="24"/>
          <w:highlight w:val="none"/>
          <w:lang w:eastAsia="zh-CN"/>
        </w:rPr>
        <w:t>，</w:t>
      </w:r>
      <w:r>
        <w:rPr>
          <w:rFonts w:hint="eastAsia" w:hAnsi="宋体" w:cs="宋体"/>
          <w:color w:val="auto"/>
          <w:szCs w:val="24"/>
          <w:highlight w:val="none"/>
          <w:lang w:val="en-US" w:eastAsia="zh-CN"/>
        </w:rPr>
        <w:t>每高1元得1分，最高得20</w:t>
      </w:r>
      <w:r>
        <w:rPr>
          <w:rFonts w:hint="eastAsia" w:ascii="宋体" w:hAnsi="宋体" w:cs="宋体"/>
          <w:color w:val="auto"/>
          <w:szCs w:val="24"/>
          <w:highlight w:val="none"/>
        </w:rPr>
        <w:t>分</w:t>
      </w:r>
      <w:r>
        <w:rPr>
          <w:rFonts w:hint="eastAsia" w:hAnsi="宋体" w:cs="宋体"/>
          <w:color w:val="auto"/>
          <w:szCs w:val="24"/>
          <w:highlight w:val="none"/>
          <w:lang w:eastAsia="zh-CN"/>
        </w:rPr>
        <w:t>；</w:t>
      </w:r>
      <w:r>
        <w:rPr>
          <w:rFonts w:hint="eastAsia" w:hAnsi="宋体" w:cs="宋体"/>
          <w:color w:val="auto"/>
          <w:szCs w:val="24"/>
          <w:highlight w:val="none"/>
          <w:lang w:val="en-US" w:eastAsia="zh-CN"/>
        </w:rPr>
        <w:t>生日卡价格最高为300元/张，每低1元得1分，最高得20分</w:t>
      </w:r>
      <w:r>
        <w:rPr>
          <w:rFonts w:hint="eastAsia" w:ascii="宋体" w:hAnsi="宋体" w:cs="宋体"/>
          <w:bCs/>
          <w:color w:val="auto"/>
          <w:szCs w:val="24"/>
          <w:highlight w:val="none"/>
        </w:rPr>
        <w:t>。</w:t>
      </w:r>
    </w:p>
    <w:p>
      <w:pPr>
        <w:pStyle w:val="3"/>
        <w:ind w:firstLine="840" w:firstLineChars="350"/>
        <w:rPr>
          <w:rFonts w:hint="eastAsia"/>
          <w:color w:val="auto"/>
          <w:sz w:val="24"/>
          <w:highlight w:val="none"/>
          <w:u w:val="single"/>
        </w:rPr>
      </w:pPr>
      <w:r>
        <w:rPr>
          <w:rFonts w:hint="eastAsia"/>
          <w:color w:val="auto"/>
          <w:sz w:val="24"/>
          <w:highlight w:val="none"/>
          <w:u w:val="single"/>
        </w:rPr>
        <w:t>2、商务技术评审</w:t>
      </w:r>
    </w:p>
    <w:tbl>
      <w:tblPr>
        <w:tblStyle w:val="8"/>
        <w:tblW w:w="903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14"/>
        <w:gridCol w:w="1742"/>
        <w:gridCol w:w="727"/>
        <w:gridCol w:w="584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14" w:type="dxa"/>
            <w:noWrap w:val="0"/>
            <w:vAlign w:val="center"/>
          </w:tcPr>
          <w:p>
            <w:pPr>
              <w:spacing w:line="360" w:lineRule="auto"/>
              <w:jc w:val="center"/>
              <w:rPr>
                <w:rFonts w:hint="eastAsia" w:hAnsi="宋体" w:cs="宋体"/>
                <w:bCs/>
                <w:color w:val="auto"/>
                <w:sz w:val="21"/>
                <w:szCs w:val="21"/>
                <w:highlight w:val="none"/>
              </w:rPr>
            </w:pPr>
            <w:r>
              <w:rPr>
                <w:rFonts w:hint="eastAsia" w:hAnsi="宋体" w:cs="宋体"/>
                <w:bCs/>
                <w:color w:val="auto"/>
                <w:sz w:val="21"/>
                <w:szCs w:val="21"/>
                <w:highlight w:val="none"/>
              </w:rPr>
              <w:t>序号</w:t>
            </w:r>
          </w:p>
        </w:tc>
        <w:tc>
          <w:tcPr>
            <w:tcW w:w="1742" w:type="dxa"/>
            <w:noWrap w:val="0"/>
            <w:vAlign w:val="center"/>
          </w:tcPr>
          <w:p>
            <w:pPr>
              <w:spacing w:line="360" w:lineRule="auto"/>
              <w:jc w:val="center"/>
              <w:rPr>
                <w:rFonts w:hint="eastAsia" w:hAnsi="宋体" w:cs="宋体"/>
                <w:bCs/>
                <w:color w:val="auto"/>
                <w:sz w:val="21"/>
                <w:szCs w:val="21"/>
                <w:highlight w:val="none"/>
              </w:rPr>
            </w:pPr>
            <w:r>
              <w:rPr>
                <w:rFonts w:hint="eastAsia" w:hAnsi="宋体" w:cs="宋体"/>
                <w:bCs/>
                <w:color w:val="auto"/>
                <w:sz w:val="21"/>
                <w:szCs w:val="21"/>
                <w:highlight w:val="none"/>
              </w:rPr>
              <w:t>评审项目</w:t>
            </w:r>
          </w:p>
        </w:tc>
        <w:tc>
          <w:tcPr>
            <w:tcW w:w="727" w:type="dxa"/>
            <w:noWrap w:val="0"/>
            <w:vAlign w:val="center"/>
          </w:tcPr>
          <w:p>
            <w:pPr>
              <w:spacing w:line="360" w:lineRule="auto"/>
              <w:jc w:val="center"/>
              <w:rPr>
                <w:rFonts w:hint="eastAsia" w:hAnsi="宋体" w:cs="宋体"/>
                <w:bCs/>
                <w:color w:val="auto"/>
                <w:sz w:val="21"/>
                <w:szCs w:val="21"/>
                <w:highlight w:val="none"/>
              </w:rPr>
            </w:pPr>
            <w:r>
              <w:rPr>
                <w:rFonts w:hint="eastAsia" w:hAnsi="宋体" w:cs="宋体"/>
                <w:bCs/>
                <w:color w:val="auto"/>
                <w:sz w:val="21"/>
                <w:szCs w:val="21"/>
                <w:highlight w:val="none"/>
              </w:rPr>
              <w:t>分值</w:t>
            </w:r>
          </w:p>
        </w:tc>
        <w:tc>
          <w:tcPr>
            <w:tcW w:w="5847" w:type="dxa"/>
            <w:noWrap w:val="0"/>
            <w:vAlign w:val="center"/>
          </w:tcPr>
          <w:p>
            <w:pPr>
              <w:spacing w:line="360" w:lineRule="auto"/>
              <w:jc w:val="center"/>
              <w:rPr>
                <w:rFonts w:hint="eastAsia" w:hAnsi="宋体" w:cs="宋体"/>
                <w:bCs/>
                <w:color w:val="auto"/>
                <w:sz w:val="21"/>
                <w:szCs w:val="21"/>
                <w:highlight w:val="none"/>
              </w:rPr>
            </w:pPr>
            <w:r>
              <w:rPr>
                <w:rFonts w:hint="eastAsia" w:hAnsi="宋体" w:cs="宋体"/>
                <w:bCs/>
                <w:color w:val="auto"/>
                <w:sz w:val="21"/>
                <w:szCs w:val="21"/>
                <w:highlight w:val="none"/>
              </w:rPr>
              <w:t>评审内容和得分标准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5" w:hRule="atLeast"/>
          <w:jc w:val="center"/>
        </w:trPr>
        <w:tc>
          <w:tcPr>
            <w:tcW w:w="714" w:type="dxa"/>
            <w:noWrap w:val="0"/>
            <w:vAlign w:val="center"/>
          </w:tcPr>
          <w:p>
            <w:pPr>
              <w:spacing w:line="360" w:lineRule="auto"/>
              <w:jc w:val="center"/>
              <w:rPr>
                <w:rFonts w:hint="eastAsia" w:hAnsi="宋体" w:cs="宋体"/>
                <w:bCs/>
                <w:color w:val="auto"/>
                <w:sz w:val="21"/>
                <w:szCs w:val="21"/>
                <w:highlight w:val="none"/>
              </w:rPr>
            </w:pPr>
            <w:r>
              <w:rPr>
                <w:rFonts w:hint="eastAsia" w:hAnsi="宋体" w:cs="宋体"/>
                <w:bCs/>
                <w:color w:val="auto"/>
                <w:sz w:val="21"/>
                <w:szCs w:val="21"/>
                <w:highlight w:val="none"/>
              </w:rPr>
              <w:t>1</w:t>
            </w:r>
          </w:p>
        </w:tc>
        <w:tc>
          <w:tcPr>
            <w:tcW w:w="1742" w:type="dxa"/>
            <w:noWrap w:val="0"/>
            <w:vAlign w:val="center"/>
          </w:tcPr>
          <w:p>
            <w:pPr>
              <w:spacing w:line="360" w:lineRule="auto"/>
              <w:jc w:val="center"/>
              <w:rPr>
                <w:rFonts w:hint="eastAsia" w:hAnsi="宋体" w:cs="宋体"/>
                <w:bCs/>
                <w:color w:val="auto"/>
                <w:sz w:val="21"/>
                <w:szCs w:val="21"/>
                <w:highlight w:val="none"/>
              </w:rPr>
            </w:pPr>
            <w:r>
              <w:rPr>
                <w:rFonts w:hint="eastAsia" w:hAnsi="宋体" w:cs="宋体"/>
                <w:color w:val="auto"/>
                <w:sz w:val="21"/>
                <w:szCs w:val="21"/>
                <w:highlight w:val="none"/>
              </w:rPr>
              <w:t>2019年至今同类项目业绩情况</w:t>
            </w:r>
          </w:p>
        </w:tc>
        <w:tc>
          <w:tcPr>
            <w:tcW w:w="727" w:type="dxa"/>
            <w:noWrap w:val="0"/>
            <w:vAlign w:val="center"/>
          </w:tcPr>
          <w:p>
            <w:pPr>
              <w:spacing w:line="360" w:lineRule="auto"/>
              <w:jc w:val="center"/>
              <w:rPr>
                <w:rFonts w:hAnsi="宋体" w:cs="宋体"/>
                <w:bCs/>
                <w:color w:val="auto"/>
                <w:sz w:val="21"/>
                <w:szCs w:val="21"/>
                <w:highlight w:val="none"/>
              </w:rPr>
            </w:pPr>
            <w:r>
              <w:rPr>
                <w:rFonts w:hint="eastAsia" w:hAnsi="宋体" w:cs="宋体"/>
                <w:bCs/>
                <w:color w:val="auto"/>
                <w:sz w:val="21"/>
                <w:szCs w:val="21"/>
                <w:highlight w:val="none"/>
              </w:rPr>
              <w:t>5</w:t>
            </w:r>
          </w:p>
        </w:tc>
        <w:tc>
          <w:tcPr>
            <w:tcW w:w="5847" w:type="dxa"/>
            <w:noWrap w:val="0"/>
            <w:vAlign w:val="center"/>
          </w:tcPr>
          <w:p>
            <w:pPr>
              <w:pStyle w:val="3"/>
              <w:ind w:firstLine="0" w:firstLineChars="0"/>
              <w:rPr>
                <w:rFonts w:hint="eastAsia" w:hAnsi="宋体" w:cs="宋体"/>
                <w:bCs/>
                <w:color w:val="auto"/>
                <w:sz w:val="21"/>
                <w:szCs w:val="21"/>
                <w:highlight w:val="none"/>
              </w:rPr>
            </w:pPr>
            <w:r>
              <w:rPr>
                <w:rFonts w:hint="eastAsia" w:ascii="宋体" w:hAnsi="宋体" w:eastAsia="宋体" w:cs="宋体"/>
                <w:color w:val="auto"/>
                <w:sz w:val="21"/>
                <w:szCs w:val="21"/>
                <w:highlight w:val="none"/>
              </w:rPr>
              <w:t>每提供一份合同得1分，最高得5分，无不得分。备注：提供</w:t>
            </w:r>
            <w:r>
              <w:rPr>
                <w:rFonts w:hint="eastAsia" w:ascii="宋体" w:hAnsi="宋体" w:eastAsia="宋体" w:cs="宋体"/>
                <w:color w:val="auto"/>
                <w:sz w:val="21"/>
                <w:szCs w:val="21"/>
                <w:highlight w:val="none"/>
                <w:lang w:val="zh-CN"/>
              </w:rPr>
              <w:t>合同</w:t>
            </w:r>
            <w:r>
              <w:rPr>
                <w:rFonts w:hint="eastAsia" w:ascii="宋体" w:hAnsi="宋体" w:eastAsia="宋体" w:cs="宋体"/>
                <w:color w:val="auto"/>
                <w:sz w:val="21"/>
                <w:szCs w:val="21"/>
                <w:highlight w:val="none"/>
              </w:rPr>
              <w:t>复印件，以合同签订时间为准，无签订时间或无法辨识时间的，不得分。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22" w:hRule="atLeast"/>
          <w:jc w:val="center"/>
        </w:trPr>
        <w:tc>
          <w:tcPr>
            <w:tcW w:w="714" w:type="dxa"/>
            <w:noWrap w:val="0"/>
            <w:vAlign w:val="center"/>
          </w:tcPr>
          <w:p>
            <w:pPr>
              <w:spacing w:line="360" w:lineRule="auto"/>
              <w:jc w:val="center"/>
              <w:rPr>
                <w:rFonts w:hint="eastAsia" w:hAnsi="宋体" w:cs="宋体"/>
                <w:bCs/>
                <w:color w:val="auto"/>
                <w:sz w:val="21"/>
                <w:szCs w:val="21"/>
                <w:highlight w:val="none"/>
              </w:rPr>
            </w:pPr>
            <w:r>
              <w:rPr>
                <w:rFonts w:hint="eastAsia" w:hAnsi="宋体" w:cs="宋体"/>
                <w:bCs/>
                <w:color w:val="auto"/>
                <w:sz w:val="21"/>
                <w:szCs w:val="21"/>
                <w:highlight w:val="none"/>
              </w:rPr>
              <w:t>2</w:t>
            </w:r>
          </w:p>
        </w:tc>
        <w:tc>
          <w:tcPr>
            <w:tcW w:w="1742" w:type="dxa"/>
            <w:noWrap w:val="0"/>
            <w:vAlign w:val="center"/>
          </w:tcPr>
          <w:p>
            <w:pPr>
              <w:spacing w:line="360" w:lineRule="auto"/>
              <w:jc w:val="center"/>
              <w:rPr>
                <w:rFonts w:hAnsi="宋体" w:cs="Tahoma"/>
                <w:color w:val="auto"/>
                <w:sz w:val="21"/>
                <w:szCs w:val="21"/>
                <w:highlight w:val="none"/>
              </w:rPr>
            </w:pPr>
            <w:r>
              <w:rPr>
                <w:rFonts w:hint="eastAsia" w:hAnsi="宋体" w:cs="Tahoma"/>
                <w:color w:val="auto"/>
                <w:sz w:val="21"/>
                <w:szCs w:val="21"/>
                <w:highlight w:val="none"/>
              </w:rPr>
              <w:t>企业管理情况</w:t>
            </w:r>
          </w:p>
        </w:tc>
        <w:tc>
          <w:tcPr>
            <w:tcW w:w="727" w:type="dxa"/>
            <w:noWrap w:val="0"/>
            <w:vAlign w:val="center"/>
          </w:tcPr>
          <w:p>
            <w:pPr>
              <w:spacing w:line="360" w:lineRule="auto"/>
              <w:jc w:val="center"/>
              <w:rPr>
                <w:rFonts w:hint="eastAsia" w:hAnsi="宋体" w:cs="宋体"/>
                <w:bCs/>
                <w:color w:val="auto"/>
                <w:sz w:val="21"/>
                <w:szCs w:val="21"/>
                <w:highlight w:val="none"/>
              </w:rPr>
            </w:pPr>
            <w:r>
              <w:rPr>
                <w:rFonts w:hint="eastAsia" w:hAnsi="宋体" w:cs="宋体"/>
                <w:bCs/>
                <w:color w:val="auto"/>
                <w:sz w:val="21"/>
                <w:szCs w:val="21"/>
                <w:highlight w:val="none"/>
              </w:rPr>
              <w:t>5</w:t>
            </w:r>
          </w:p>
        </w:tc>
        <w:tc>
          <w:tcPr>
            <w:tcW w:w="5847" w:type="dxa"/>
            <w:noWrap w:val="0"/>
            <w:vAlign w:val="center"/>
          </w:tcPr>
          <w:p>
            <w:pPr>
              <w:spacing w:line="360" w:lineRule="auto"/>
              <w:rPr>
                <w:rFonts w:hAnsi="宋体"/>
                <w:color w:val="auto"/>
                <w:sz w:val="21"/>
                <w:szCs w:val="21"/>
                <w:highlight w:val="none"/>
              </w:rPr>
            </w:pPr>
            <w:r>
              <w:rPr>
                <w:rFonts w:hint="eastAsia" w:hAnsi="宋体" w:eastAsia="宋体" w:cs="宋体"/>
                <w:color w:val="auto"/>
                <w:kern w:val="2"/>
                <w:sz w:val="21"/>
                <w:szCs w:val="21"/>
                <w:highlight w:val="none"/>
              </w:rPr>
              <w:t>响应供应商获得并提供有效的质量管理体系、环境管理体系、职业健康安全管理体系认证证书、“守合同重信用企业证书”或“重合同守信用企业证书”</w:t>
            </w:r>
            <w:r>
              <w:rPr>
                <w:rFonts w:hint="eastAsia" w:hAnsi="宋体" w:eastAsia="宋体" w:cs="宋体"/>
                <w:color w:val="auto"/>
                <w:kern w:val="2"/>
                <w:sz w:val="21"/>
                <w:szCs w:val="21"/>
                <w:highlight w:val="none"/>
                <w:lang w:val="en-US"/>
              </w:rPr>
              <w:t>；</w:t>
            </w:r>
            <w:r>
              <w:rPr>
                <w:rFonts w:hint="eastAsia" w:hAnsi="宋体" w:eastAsia="宋体" w:cs="宋体"/>
                <w:color w:val="auto"/>
                <w:kern w:val="2"/>
                <w:sz w:val="21"/>
                <w:szCs w:val="21"/>
                <w:highlight w:val="none"/>
              </w:rPr>
              <w:t>每具有一个证书得1分，</w:t>
            </w:r>
            <w:r>
              <w:rPr>
                <w:rFonts w:hint="eastAsia" w:hAnsi="宋体" w:eastAsia="宋体" w:cs="宋体"/>
                <w:color w:val="auto"/>
                <w:kern w:val="2"/>
                <w:sz w:val="21"/>
                <w:szCs w:val="21"/>
                <w:highlight w:val="none"/>
                <w:lang w:val="en-US"/>
              </w:rPr>
              <w:t>最高得</w:t>
            </w:r>
            <w:r>
              <w:rPr>
                <w:rFonts w:hint="eastAsia" w:hAnsi="宋体" w:eastAsia="宋体" w:cs="宋体"/>
                <w:color w:val="auto"/>
                <w:kern w:val="2"/>
                <w:sz w:val="21"/>
                <w:szCs w:val="21"/>
                <w:highlight w:val="none"/>
              </w:rPr>
              <w:t>5</w:t>
            </w:r>
            <w:r>
              <w:rPr>
                <w:rFonts w:hint="eastAsia" w:hAnsi="宋体" w:eastAsia="宋体" w:cs="宋体"/>
                <w:color w:val="auto"/>
                <w:kern w:val="2"/>
                <w:sz w:val="21"/>
                <w:szCs w:val="21"/>
                <w:highlight w:val="none"/>
                <w:lang w:val="en-US"/>
              </w:rPr>
              <w:t>分，</w:t>
            </w:r>
            <w:r>
              <w:rPr>
                <w:rFonts w:hint="eastAsia" w:hAnsi="宋体" w:eastAsia="宋体" w:cs="宋体"/>
                <w:color w:val="auto"/>
                <w:kern w:val="2"/>
                <w:sz w:val="21"/>
                <w:szCs w:val="21"/>
                <w:highlight w:val="none"/>
              </w:rPr>
              <w:t>无或其他不得分。备注：提供有效证书复印件。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17" w:hRule="atLeast"/>
          <w:jc w:val="center"/>
        </w:trPr>
        <w:tc>
          <w:tcPr>
            <w:tcW w:w="714" w:type="dxa"/>
            <w:noWrap w:val="0"/>
            <w:vAlign w:val="center"/>
          </w:tcPr>
          <w:p>
            <w:pPr>
              <w:spacing w:line="360" w:lineRule="auto"/>
              <w:jc w:val="center"/>
              <w:rPr>
                <w:rFonts w:hint="eastAsia" w:hAnsi="宋体" w:cs="宋体"/>
                <w:bCs/>
                <w:color w:val="auto"/>
                <w:sz w:val="21"/>
                <w:szCs w:val="21"/>
                <w:highlight w:val="none"/>
              </w:rPr>
            </w:pPr>
            <w:r>
              <w:rPr>
                <w:rFonts w:hint="eastAsia" w:hAnsi="宋体" w:cs="宋体"/>
                <w:bCs/>
                <w:color w:val="auto"/>
                <w:sz w:val="21"/>
                <w:szCs w:val="21"/>
                <w:highlight w:val="none"/>
              </w:rPr>
              <w:t>3</w:t>
            </w:r>
          </w:p>
        </w:tc>
        <w:tc>
          <w:tcPr>
            <w:tcW w:w="1742" w:type="dxa"/>
            <w:noWrap w:val="0"/>
            <w:vAlign w:val="center"/>
          </w:tcPr>
          <w:p>
            <w:pPr>
              <w:spacing w:line="360" w:lineRule="auto"/>
              <w:jc w:val="center"/>
              <w:rPr>
                <w:rFonts w:hint="eastAsia" w:hAnsi="宋体" w:cs="宋体"/>
                <w:color w:val="auto"/>
                <w:sz w:val="21"/>
                <w:szCs w:val="21"/>
                <w:highlight w:val="none"/>
              </w:rPr>
            </w:pPr>
            <w:r>
              <w:rPr>
                <w:rFonts w:hint="eastAsia" w:hAnsi="宋体" w:cs="Tahoma"/>
                <w:color w:val="auto"/>
                <w:sz w:val="21"/>
                <w:szCs w:val="21"/>
                <w:highlight w:val="none"/>
              </w:rPr>
              <w:t>产品的质量及保证</w:t>
            </w:r>
          </w:p>
        </w:tc>
        <w:tc>
          <w:tcPr>
            <w:tcW w:w="727" w:type="dxa"/>
            <w:noWrap w:val="0"/>
            <w:vAlign w:val="center"/>
          </w:tcPr>
          <w:p>
            <w:pPr>
              <w:spacing w:line="360" w:lineRule="auto"/>
              <w:jc w:val="center"/>
              <w:rPr>
                <w:rFonts w:hint="eastAsia" w:hAnsi="宋体" w:cs="宋体"/>
                <w:bCs/>
                <w:color w:val="auto"/>
                <w:sz w:val="21"/>
                <w:szCs w:val="21"/>
                <w:highlight w:val="none"/>
              </w:rPr>
            </w:pPr>
            <w:r>
              <w:rPr>
                <w:rFonts w:hint="eastAsia" w:hAnsi="宋体" w:cs="宋体"/>
                <w:bCs/>
                <w:color w:val="auto"/>
                <w:sz w:val="21"/>
                <w:szCs w:val="21"/>
                <w:highlight w:val="none"/>
              </w:rPr>
              <w:t>5</w:t>
            </w:r>
          </w:p>
        </w:tc>
        <w:tc>
          <w:tcPr>
            <w:tcW w:w="5847" w:type="dxa"/>
            <w:noWrap w:val="0"/>
            <w:vAlign w:val="center"/>
          </w:tcPr>
          <w:p>
            <w:pPr>
              <w:spacing w:line="360" w:lineRule="auto"/>
              <w:rPr>
                <w:rFonts w:hint="eastAsia" w:hAnsi="宋体" w:eastAsia="宋体" w:cs="宋体"/>
                <w:color w:val="auto"/>
                <w:kern w:val="2"/>
                <w:sz w:val="21"/>
                <w:szCs w:val="21"/>
                <w:highlight w:val="none"/>
              </w:rPr>
            </w:pPr>
            <w:r>
              <w:rPr>
                <w:rFonts w:hint="eastAsia" w:hAnsi="宋体" w:eastAsia="宋体" w:cs="宋体"/>
                <w:color w:val="auto"/>
                <w:kern w:val="2"/>
                <w:sz w:val="21"/>
                <w:szCs w:val="21"/>
                <w:highlight w:val="none"/>
              </w:rPr>
              <w:t>根据响应产品的知名度、来源、产地各环节的质量保证及食品安全措施进行评价:</w:t>
            </w:r>
          </w:p>
          <w:p>
            <w:pPr>
              <w:spacing w:line="360" w:lineRule="auto"/>
              <w:rPr>
                <w:rFonts w:hint="eastAsia" w:hAnsi="宋体" w:eastAsia="宋体" w:cs="宋体"/>
                <w:color w:val="auto"/>
                <w:kern w:val="2"/>
                <w:sz w:val="21"/>
                <w:szCs w:val="21"/>
                <w:highlight w:val="none"/>
              </w:rPr>
            </w:pPr>
            <w:r>
              <w:rPr>
                <w:rFonts w:hint="eastAsia" w:hAnsi="宋体" w:eastAsia="宋体" w:cs="宋体"/>
                <w:color w:val="auto"/>
                <w:kern w:val="2"/>
                <w:sz w:val="21"/>
                <w:szCs w:val="21"/>
                <w:highlight w:val="none"/>
              </w:rPr>
              <w:t>响应产品的知名度高、普及度广、来源合法具体，质量及安全保证措施具体、完善，为优5-4分；</w:t>
            </w:r>
          </w:p>
          <w:p>
            <w:pPr>
              <w:spacing w:line="360" w:lineRule="auto"/>
              <w:rPr>
                <w:rFonts w:hint="eastAsia" w:hAnsi="宋体" w:eastAsia="宋体" w:cs="宋体"/>
                <w:color w:val="auto"/>
                <w:kern w:val="2"/>
                <w:sz w:val="21"/>
                <w:szCs w:val="21"/>
                <w:highlight w:val="none"/>
              </w:rPr>
            </w:pPr>
            <w:r>
              <w:rPr>
                <w:rFonts w:hint="eastAsia" w:hAnsi="宋体" w:eastAsia="宋体" w:cs="宋体"/>
                <w:color w:val="auto"/>
                <w:kern w:val="2"/>
                <w:sz w:val="21"/>
                <w:szCs w:val="21"/>
                <w:highlight w:val="none"/>
              </w:rPr>
              <w:t>响应产品的知名度较高、普及度较广、来源较合法具体，质量及安全保证措施较具体、完善，为良3-2分；</w:t>
            </w:r>
          </w:p>
          <w:p>
            <w:pPr>
              <w:spacing w:line="360" w:lineRule="auto"/>
              <w:rPr>
                <w:rFonts w:hint="eastAsia" w:hAnsi="宋体" w:eastAsia="宋体" w:cs="宋体"/>
                <w:color w:val="auto"/>
                <w:kern w:val="2"/>
                <w:sz w:val="21"/>
                <w:szCs w:val="21"/>
                <w:highlight w:val="none"/>
              </w:rPr>
            </w:pPr>
            <w:r>
              <w:rPr>
                <w:rFonts w:hint="eastAsia" w:hAnsi="宋体" w:eastAsia="宋体" w:cs="宋体"/>
                <w:color w:val="auto"/>
                <w:kern w:val="2"/>
                <w:sz w:val="21"/>
                <w:szCs w:val="21"/>
                <w:highlight w:val="none"/>
              </w:rPr>
              <w:t>响应产品的知名度一般、来源不够具体，质量及安全保证措施不够具体、完善，为差1分；</w:t>
            </w:r>
          </w:p>
          <w:p>
            <w:pPr>
              <w:spacing w:line="360" w:lineRule="auto"/>
              <w:rPr>
                <w:rFonts w:hint="eastAsia" w:hAnsi="宋体" w:cs="宋体"/>
                <w:bCs/>
                <w:color w:val="auto"/>
                <w:sz w:val="21"/>
                <w:szCs w:val="21"/>
                <w:highlight w:val="none"/>
              </w:rPr>
            </w:pPr>
            <w:r>
              <w:rPr>
                <w:rFonts w:hint="eastAsia" w:hAnsi="宋体" w:eastAsia="宋体" w:cs="宋体"/>
                <w:color w:val="auto"/>
                <w:kern w:val="2"/>
                <w:sz w:val="21"/>
                <w:szCs w:val="21"/>
                <w:highlight w:val="none"/>
              </w:rPr>
              <w:t>无不得分。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5" w:hRule="atLeast"/>
          <w:jc w:val="center"/>
        </w:trPr>
        <w:tc>
          <w:tcPr>
            <w:tcW w:w="714" w:type="dxa"/>
            <w:noWrap w:val="0"/>
            <w:vAlign w:val="center"/>
          </w:tcPr>
          <w:p>
            <w:pPr>
              <w:spacing w:line="360" w:lineRule="auto"/>
              <w:jc w:val="center"/>
              <w:rPr>
                <w:rFonts w:hint="eastAsia" w:hAnsi="宋体" w:cs="宋体"/>
                <w:bCs/>
                <w:color w:val="auto"/>
                <w:sz w:val="21"/>
                <w:szCs w:val="21"/>
                <w:highlight w:val="none"/>
              </w:rPr>
            </w:pPr>
            <w:r>
              <w:rPr>
                <w:rFonts w:hint="eastAsia" w:hAnsi="宋体" w:cs="宋体"/>
                <w:bCs/>
                <w:color w:val="auto"/>
                <w:sz w:val="21"/>
                <w:szCs w:val="21"/>
                <w:highlight w:val="none"/>
              </w:rPr>
              <w:t>4</w:t>
            </w:r>
          </w:p>
        </w:tc>
        <w:tc>
          <w:tcPr>
            <w:tcW w:w="1742" w:type="dxa"/>
            <w:noWrap w:val="0"/>
            <w:vAlign w:val="center"/>
          </w:tcPr>
          <w:p>
            <w:pPr>
              <w:spacing w:line="360" w:lineRule="auto"/>
              <w:jc w:val="center"/>
              <w:rPr>
                <w:rFonts w:hint="eastAsia" w:hAnsi="宋体" w:cs="宋体"/>
                <w:bCs/>
                <w:color w:val="auto"/>
                <w:sz w:val="21"/>
                <w:szCs w:val="21"/>
                <w:highlight w:val="none"/>
              </w:rPr>
            </w:pPr>
            <w:r>
              <w:rPr>
                <w:rFonts w:hint="eastAsia" w:hAnsi="宋体" w:cs="楷体_GB2312"/>
                <w:bCs/>
                <w:color w:val="auto"/>
                <w:sz w:val="21"/>
                <w:szCs w:val="21"/>
                <w:highlight w:val="none"/>
                <w:lang w:val="af-ZA"/>
              </w:rPr>
              <w:t>售后服务方案</w:t>
            </w:r>
          </w:p>
        </w:tc>
        <w:tc>
          <w:tcPr>
            <w:tcW w:w="727" w:type="dxa"/>
            <w:noWrap w:val="0"/>
            <w:vAlign w:val="center"/>
          </w:tcPr>
          <w:p>
            <w:pPr>
              <w:spacing w:line="360" w:lineRule="auto"/>
              <w:jc w:val="center"/>
              <w:rPr>
                <w:rFonts w:hint="eastAsia" w:hAnsi="宋体" w:cs="宋体"/>
                <w:color w:val="auto"/>
                <w:sz w:val="21"/>
                <w:szCs w:val="21"/>
                <w:highlight w:val="none"/>
              </w:rPr>
            </w:pPr>
            <w:r>
              <w:rPr>
                <w:rFonts w:hint="eastAsia" w:hAnsi="宋体" w:cs="宋体"/>
                <w:color w:val="auto"/>
                <w:sz w:val="21"/>
                <w:szCs w:val="21"/>
                <w:highlight w:val="none"/>
              </w:rPr>
              <w:t>10</w:t>
            </w:r>
          </w:p>
        </w:tc>
        <w:tc>
          <w:tcPr>
            <w:tcW w:w="5847" w:type="dxa"/>
            <w:noWrap w:val="0"/>
            <w:vAlign w:val="center"/>
          </w:tcPr>
          <w:p>
            <w:pPr>
              <w:spacing w:line="360" w:lineRule="auto"/>
              <w:rPr>
                <w:rFonts w:hint="eastAsia" w:ascii="宋体"/>
                <w:color w:val="auto"/>
                <w:sz w:val="21"/>
                <w:szCs w:val="21"/>
                <w:highlight w:val="none"/>
              </w:rPr>
            </w:pPr>
            <w:r>
              <w:rPr>
                <w:rFonts w:hint="eastAsia" w:ascii="宋体"/>
                <w:color w:val="auto"/>
                <w:sz w:val="21"/>
                <w:szCs w:val="21"/>
                <w:highlight w:val="none"/>
              </w:rPr>
              <w:t>具有完善的服务体系，提供线下实体门店方便购买等情况进行评价：</w:t>
            </w:r>
          </w:p>
          <w:p>
            <w:pPr>
              <w:spacing w:line="360" w:lineRule="auto"/>
              <w:rPr>
                <w:rFonts w:hint="eastAsia" w:ascii="宋体"/>
                <w:color w:val="auto"/>
                <w:sz w:val="21"/>
                <w:szCs w:val="21"/>
                <w:highlight w:val="none"/>
              </w:rPr>
            </w:pPr>
            <w:r>
              <w:rPr>
                <w:rFonts w:hint="eastAsia" w:ascii="宋体"/>
                <w:color w:val="auto"/>
                <w:sz w:val="21"/>
                <w:szCs w:val="21"/>
                <w:highlight w:val="none"/>
              </w:rPr>
              <w:t>响应企业建立完善的售后服务体系，</w:t>
            </w:r>
            <w:r>
              <w:rPr>
                <w:rFonts w:hint="eastAsia" w:ascii="宋体" w:hAnsi="Times New Roman"/>
                <w:color w:val="auto"/>
                <w:sz w:val="21"/>
                <w:szCs w:val="21"/>
                <w:highlight w:val="none"/>
                <w:shd w:val="clear" w:color="auto" w:fill="auto"/>
              </w:rPr>
              <w:t>不</w:t>
            </w:r>
            <w:r>
              <w:rPr>
                <w:rFonts w:hint="eastAsia" w:ascii="宋体"/>
                <w:color w:val="auto"/>
                <w:sz w:val="21"/>
                <w:szCs w:val="21"/>
                <w:highlight w:val="none"/>
              </w:rPr>
              <w:t>设使用门槛，</w:t>
            </w:r>
            <w:r>
              <w:rPr>
                <w:rFonts w:hint="eastAsia" w:ascii="宋体" w:hAnsi="Times New Roman"/>
                <w:color w:val="auto"/>
                <w:sz w:val="21"/>
                <w:szCs w:val="21"/>
                <w:highlight w:val="none"/>
                <w:shd w:val="clear" w:color="auto" w:fill="auto"/>
              </w:rPr>
              <w:t>不限使用日期和使用时段，也不设置使用期限</w:t>
            </w:r>
            <w:r>
              <w:rPr>
                <w:rFonts w:hint="eastAsia" w:ascii="宋体"/>
                <w:color w:val="auto"/>
                <w:sz w:val="21"/>
                <w:szCs w:val="21"/>
                <w:highlight w:val="none"/>
              </w:rPr>
              <w:t>的，得10分；</w:t>
            </w:r>
          </w:p>
          <w:p>
            <w:pPr>
              <w:spacing w:line="360" w:lineRule="auto"/>
              <w:rPr>
                <w:rFonts w:hint="eastAsia" w:ascii="宋体"/>
                <w:color w:val="auto"/>
                <w:sz w:val="21"/>
                <w:szCs w:val="21"/>
                <w:highlight w:val="none"/>
              </w:rPr>
            </w:pPr>
            <w:r>
              <w:rPr>
                <w:rFonts w:hint="eastAsia" w:ascii="宋体"/>
                <w:color w:val="auto"/>
                <w:sz w:val="21"/>
                <w:szCs w:val="21"/>
                <w:highlight w:val="none"/>
              </w:rPr>
              <w:t>响应企业能提供正常的蛋糕购买服务，</w:t>
            </w:r>
            <w:r>
              <w:rPr>
                <w:rFonts w:hint="eastAsia" w:ascii="宋体" w:hAnsi="Times New Roman"/>
                <w:color w:val="auto"/>
                <w:sz w:val="21"/>
                <w:szCs w:val="21"/>
                <w:highlight w:val="none"/>
                <w:shd w:val="clear" w:color="auto" w:fill="auto"/>
              </w:rPr>
              <w:t>不</w:t>
            </w:r>
            <w:r>
              <w:rPr>
                <w:rFonts w:hint="eastAsia" w:ascii="宋体"/>
                <w:color w:val="auto"/>
                <w:sz w:val="21"/>
                <w:szCs w:val="21"/>
                <w:highlight w:val="none"/>
              </w:rPr>
              <w:t>设使用门槛，</w:t>
            </w:r>
            <w:r>
              <w:rPr>
                <w:rFonts w:hint="eastAsia" w:ascii="宋体" w:hAnsi="Times New Roman"/>
                <w:color w:val="auto"/>
                <w:sz w:val="21"/>
                <w:szCs w:val="21"/>
                <w:highlight w:val="none"/>
                <w:shd w:val="clear" w:color="auto" w:fill="auto"/>
              </w:rPr>
              <w:t>不限使用日期和使用时段，设置使用期限的，得5分；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80" w:hRule="atLeast"/>
          <w:jc w:val="center"/>
        </w:trPr>
        <w:tc>
          <w:tcPr>
            <w:tcW w:w="714" w:type="dxa"/>
            <w:noWrap w:val="0"/>
            <w:vAlign w:val="center"/>
          </w:tcPr>
          <w:p>
            <w:pPr>
              <w:jc w:val="center"/>
              <w:rPr>
                <w:rFonts w:hint="eastAsia" w:hAnsi="宋体" w:cs="宋体"/>
                <w:bCs/>
                <w:color w:val="auto"/>
                <w:sz w:val="21"/>
                <w:szCs w:val="21"/>
                <w:highlight w:val="none"/>
              </w:rPr>
            </w:pPr>
            <w:r>
              <w:rPr>
                <w:rFonts w:hint="eastAsia" w:hAnsi="宋体" w:cs="宋体"/>
                <w:bCs/>
                <w:color w:val="auto"/>
                <w:sz w:val="21"/>
                <w:szCs w:val="21"/>
                <w:highlight w:val="none"/>
              </w:rPr>
              <w:t>5</w:t>
            </w:r>
          </w:p>
        </w:tc>
        <w:tc>
          <w:tcPr>
            <w:tcW w:w="1742" w:type="dxa"/>
            <w:noWrap w:val="0"/>
            <w:vAlign w:val="center"/>
          </w:tcPr>
          <w:p>
            <w:pPr>
              <w:jc w:val="center"/>
              <w:rPr>
                <w:rFonts w:hint="eastAsia" w:hAnsi="宋体" w:cs="楷体_GB2312"/>
                <w:bCs/>
                <w:color w:val="auto"/>
                <w:sz w:val="21"/>
                <w:szCs w:val="21"/>
                <w:highlight w:val="none"/>
              </w:rPr>
            </w:pPr>
            <w:r>
              <w:rPr>
                <w:rFonts w:hint="eastAsia" w:hAnsi="宋体" w:cs="楷体_GB2312"/>
                <w:bCs/>
                <w:color w:val="auto"/>
                <w:sz w:val="21"/>
                <w:szCs w:val="21"/>
                <w:highlight w:val="none"/>
              </w:rPr>
              <w:t>增值服务</w:t>
            </w:r>
          </w:p>
        </w:tc>
        <w:tc>
          <w:tcPr>
            <w:tcW w:w="727" w:type="dxa"/>
            <w:noWrap w:val="0"/>
            <w:vAlign w:val="center"/>
          </w:tcPr>
          <w:p>
            <w:pPr>
              <w:jc w:val="center"/>
              <w:rPr>
                <w:rFonts w:hint="eastAsia" w:hAnsi="宋体" w:cs="宋体"/>
                <w:color w:val="auto"/>
                <w:sz w:val="21"/>
                <w:szCs w:val="21"/>
                <w:highlight w:val="none"/>
              </w:rPr>
            </w:pPr>
            <w:r>
              <w:rPr>
                <w:rFonts w:hint="eastAsia" w:hAnsi="宋体" w:cs="宋体"/>
                <w:bCs/>
                <w:color w:val="auto"/>
                <w:sz w:val="21"/>
                <w:szCs w:val="21"/>
                <w:highlight w:val="none"/>
              </w:rPr>
              <w:t>10</w:t>
            </w:r>
          </w:p>
        </w:tc>
        <w:tc>
          <w:tcPr>
            <w:tcW w:w="5847" w:type="dxa"/>
            <w:noWrap w:val="0"/>
            <w:vAlign w:val="center"/>
          </w:tcPr>
          <w:p>
            <w:pPr>
              <w:pStyle w:val="3"/>
              <w:rPr>
                <w:rFonts w:hint="eastAsia"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根据响应供应商所提供的增值服务进行横向比较：</w:t>
            </w:r>
          </w:p>
          <w:p>
            <w:pPr>
              <w:pStyle w:val="3"/>
              <w:rPr>
                <w:rFonts w:hint="eastAsia"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1. 在保证质量的前提下，提供的数量多、内容丰富、合理度高的，得10分；</w:t>
            </w:r>
          </w:p>
          <w:p>
            <w:pPr>
              <w:pStyle w:val="3"/>
              <w:rPr>
                <w:rFonts w:hint="eastAsia"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2. 在保证质量的前提下，提供的数量较多、内容较丰富、合理度较高的，得6分；</w:t>
            </w:r>
          </w:p>
          <w:p>
            <w:pPr>
              <w:pStyle w:val="3"/>
              <w:rPr>
                <w:rFonts w:hint="eastAsia"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3. 数量少、内容单一、合理度差的，得3分；</w:t>
            </w:r>
          </w:p>
          <w:p>
            <w:pPr>
              <w:pStyle w:val="3"/>
              <w:rPr>
                <w:rFonts w:hint="eastAsia"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不提供方案的不得分。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1" w:hRule="atLeast"/>
          <w:jc w:val="center"/>
        </w:trPr>
        <w:tc>
          <w:tcPr>
            <w:tcW w:w="714" w:type="dxa"/>
            <w:noWrap w:val="0"/>
            <w:vAlign w:val="center"/>
          </w:tcPr>
          <w:p>
            <w:pPr>
              <w:jc w:val="center"/>
              <w:rPr>
                <w:rFonts w:hint="eastAsia" w:hAnsi="宋体" w:eastAsia="宋体" w:cs="宋体"/>
                <w:bCs/>
                <w:color w:val="auto"/>
                <w:sz w:val="21"/>
                <w:szCs w:val="21"/>
                <w:highlight w:val="none"/>
                <w:lang w:eastAsia="zh-CN"/>
              </w:rPr>
            </w:pPr>
            <w:r>
              <w:rPr>
                <w:rFonts w:hint="eastAsia" w:hAnsi="宋体" w:cs="宋体"/>
                <w:bCs/>
                <w:color w:val="auto"/>
                <w:sz w:val="21"/>
                <w:szCs w:val="21"/>
                <w:highlight w:val="none"/>
                <w:lang w:val="en-US" w:eastAsia="zh-CN"/>
              </w:rPr>
              <w:t>6</w:t>
            </w:r>
          </w:p>
        </w:tc>
        <w:tc>
          <w:tcPr>
            <w:tcW w:w="1742" w:type="dxa"/>
            <w:noWrap w:val="0"/>
            <w:vAlign w:val="center"/>
          </w:tcPr>
          <w:p>
            <w:pPr>
              <w:jc w:val="center"/>
              <w:rPr>
                <w:rFonts w:hint="eastAsia" w:hAnsi="宋体" w:cs="宋体"/>
                <w:bCs/>
                <w:color w:val="auto"/>
                <w:sz w:val="21"/>
                <w:szCs w:val="21"/>
                <w:highlight w:val="none"/>
              </w:rPr>
            </w:pPr>
            <w:r>
              <w:rPr>
                <w:rFonts w:hint="eastAsia" w:hAnsi="宋体" w:cs="宋体"/>
                <w:color w:val="auto"/>
                <w:sz w:val="21"/>
                <w:szCs w:val="21"/>
                <w:highlight w:val="none"/>
              </w:rPr>
              <w:t>投入售后服务情况</w:t>
            </w:r>
          </w:p>
        </w:tc>
        <w:tc>
          <w:tcPr>
            <w:tcW w:w="727" w:type="dxa"/>
            <w:noWrap w:val="0"/>
            <w:vAlign w:val="center"/>
          </w:tcPr>
          <w:p>
            <w:pPr>
              <w:jc w:val="center"/>
              <w:rPr>
                <w:rFonts w:hint="eastAsia" w:hAnsi="宋体" w:cs="宋体"/>
                <w:bCs/>
                <w:color w:val="auto"/>
                <w:sz w:val="21"/>
                <w:szCs w:val="21"/>
                <w:highlight w:val="none"/>
              </w:rPr>
            </w:pPr>
            <w:r>
              <w:rPr>
                <w:rFonts w:hint="eastAsia" w:hAnsi="宋体" w:cs="宋体"/>
                <w:bCs/>
                <w:color w:val="auto"/>
                <w:sz w:val="21"/>
                <w:szCs w:val="21"/>
                <w:highlight w:val="none"/>
              </w:rPr>
              <w:t>5</w:t>
            </w:r>
          </w:p>
        </w:tc>
        <w:tc>
          <w:tcPr>
            <w:tcW w:w="5847" w:type="dxa"/>
            <w:noWrap w:val="0"/>
            <w:vAlign w:val="center"/>
          </w:tcPr>
          <w:p>
            <w:pPr>
              <w:pStyle w:val="3"/>
              <w:rPr>
                <w:rFonts w:hint="eastAsia" w:ascii="Times New Roman" w:hAnsi="Times New Roman" w:eastAsia="宋体" w:cs="Times New Roman"/>
                <w:color w:val="auto"/>
                <w:szCs w:val="21"/>
                <w:highlight w:val="none"/>
                <w:lang w:eastAsia="zh-CN"/>
              </w:rPr>
            </w:pPr>
            <w:r>
              <w:rPr>
                <w:rFonts w:hint="eastAsia" w:ascii="Times New Roman" w:hAnsi="Times New Roman" w:eastAsia="宋体" w:cs="Times New Roman"/>
                <w:color w:val="auto"/>
                <w:szCs w:val="21"/>
                <w:highlight w:val="none"/>
              </w:rPr>
              <w:t>团队人员中有专门的售后服务人员的，提供一人得1分，最高得5分。</w:t>
            </w:r>
            <w:r>
              <w:rPr>
                <w:rFonts w:hint="eastAsia" w:hAnsi="Times New Roman" w:eastAsia="宋体" w:cs="Times New Roman"/>
                <w:color w:val="auto"/>
                <w:szCs w:val="21"/>
                <w:highlight w:val="none"/>
                <w:lang w:eastAsia="zh-CN"/>
              </w:rPr>
              <w:t>（</w:t>
            </w:r>
            <w:r>
              <w:rPr>
                <w:rFonts w:hint="eastAsia" w:hAnsi="Times New Roman" w:eastAsia="宋体" w:cs="Times New Roman"/>
                <w:color w:val="auto"/>
                <w:szCs w:val="21"/>
                <w:highlight w:val="none"/>
                <w:lang w:val="en-US" w:eastAsia="zh-CN"/>
              </w:rPr>
              <w:t>是否需提供社保工作证明</w:t>
            </w:r>
            <w:r>
              <w:rPr>
                <w:rFonts w:hint="eastAsia" w:hAnsi="Times New Roman" w:eastAsia="宋体" w:cs="Times New Roman"/>
                <w:color w:val="auto"/>
                <w:szCs w:val="21"/>
                <w:highlight w:val="none"/>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1" w:hRule="atLeast"/>
          <w:jc w:val="center"/>
        </w:trPr>
        <w:tc>
          <w:tcPr>
            <w:tcW w:w="714" w:type="dxa"/>
            <w:noWrap w:val="0"/>
            <w:vAlign w:val="center"/>
          </w:tcPr>
          <w:p>
            <w:pPr>
              <w:jc w:val="center"/>
              <w:rPr>
                <w:rFonts w:hint="eastAsia" w:hAnsi="宋体" w:eastAsia="宋体" w:cs="宋体"/>
                <w:bCs/>
                <w:color w:val="auto"/>
                <w:sz w:val="21"/>
                <w:szCs w:val="21"/>
                <w:highlight w:val="none"/>
                <w:lang w:eastAsia="zh-CN"/>
              </w:rPr>
            </w:pPr>
            <w:r>
              <w:rPr>
                <w:rFonts w:hint="eastAsia" w:hAnsi="宋体" w:cs="宋体"/>
                <w:bCs/>
                <w:color w:val="auto"/>
                <w:sz w:val="21"/>
                <w:szCs w:val="21"/>
                <w:highlight w:val="none"/>
                <w:lang w:val="en-US" w:eastAsia="zh-CN"/>
              </w:rPr>
              <w:t>7</w:t>
            </w:r>
          </w:p>
        </w:tc>
        <w:tc>
          <w:tcPr>
            <w:tcW w:w="1742" w:type="dxa"/>
            <w:noWrap w:val="0"/>
            <w:vAlign w:val="center"/>
          </w:tcPr>
          <w:p>
            <w:pPr>
              <w:jc w:val="center"/>
              <w:rPr>
                <w:rFonts w:hAnsi="宋体" w:cs="宋体"/>
                <w:bCs/>
                <w:color w:val="auto"/>
                <w:sz w:val="21"/>
                <w:szCs w:val="21"/>
                <w:highlight w:val="none"/>
              </w:rPr>
            </w:pPr>
            <w:r>
              <w:rPr>
                <w:rFonts w:hint="eastAsia" w:hAnsi="宋体" w:cs="宋体"/>
                <w:color w:val="auto"/>
                <w:sz w:val="21"/>
                <w:szCs w:val="21"/>
                <w:highlight w:val="none"/>
              </w:rPr>
              <w:t>线下提货门店</w:t>
            </w:r>
          </w:p>
        </w:tc>
        <w:tc>
          <w:tcPr>
            <w:tcW w:w="727" w:type="dxa"/>
            <w:noWrap w:val="0"/>
            <w:vAlign w:val="center"/>
          </w:tcPr>
          <w:p>
            <w:pPr>
              <w:jc w:val="center"/>
              <w:rPr>
                <w:rFonts w:hint="default" w:hAnsi="宋体" w:eastAsia="宋体" w:cs="宋体"/>
                <w:color w:val="auto"/>
                <w:sz w:val="21"/>
                <w:szCs w:val="21"/>
                <w:highlight w:val="none"/>
                <w:lang w:val="en-US" w:eastAsia="zh-CN"/>
              </w:rPr>
            </w:pPr>
            <w:r>
              <w:rPr>
                <w:rFonts w:hint="eastAsia" w:hAnsi="宋体" w:cs="宋体"/>
                <w:bCs/>
                <w:color w:val="auto"/>
                <w:sz w:val="21"/>
                <w:szCs w:val="21"/>
                <w:highlight w:val="none"/>
                <w:lang w:val="en-US" w:eastAsia="zh-CN"/>
              </w:rPr>
              <w:t>20</w:t>
            </w:r>
          </w:p>
        </w:tc>
        <w:tc>
          <w:tcPr>
            <w:tcW w:w="5847" w:type="dxa"/>
            <w:noWrap w:val="0"/>
            <w:vAlign w:val="center"/>
          </w:tcPr>
          <w:p>
            <w:pPr>
              <w:pStyle w:val="3"/>
              <w:spacing w:line="300" w:lineRule="exact"/>
              <w:rPr>
                <w:rFonts w:hint="eastAsia" w:ascii="Times New Roman" w:hAnsi="Times New Roman" w:eastAsia="宋体" w:cs="Times New Roman"/>
                <w:color w:val="auto"/>
                <w:szCs w:val="21"/>
                <w:highlight w:val="none"/>
                <w:lang w:eastAsia="zh-CN"/>
              </w:rPr>
            </w:pPr>
            <w:r>
              <w:rPr>
                <w:rFonts w:hint="eastAsia" w:ascii="Times New Roman" w:hAnsi="Times New Roman" w:eastAsia="宋体" w:cs="Times New Roman"/>
                <w:color w:val="auto"/>
                <w:szCs w:val="21"/>
                <w:highlight w:val="none"/>
              </w:rPr>
              <w:t>对意向供应商线下提货门店等方面进行比较：</w:t>
            </w:r>
          </w:p>
          <w:p>
            <w:pPr>
              <w:pStyle w:val="3"/>
              <w:spacing w:line="300" w:lineRule="exact"/>
              <w:rPr>
                <w:rFonts w:hint="eastAsia"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供应商在中山市内提供的蛋糕线下提货门店数量多，分布区域广</w:t>
            </w:r>
            <w:r>
              <w:rPr>
                <w:rFonts w:hint="eastAsia" w:hAnsi="Times New Roman" w:eastAsia="宋体" w:cs="Times New Roman"/>
                <w:color w:val="auto"/>
                <w:szCs w:val="21"/>
                <w:highlight w:val="none"/>
                <w:lang w:eastAsia="zh-CN"/>
              </w:rPr>
              <w:t>，</w:t>
            </w:r>
            <w:r>
              <w:rPr>
                <w:rFonts w:hint="eastAsia" w:hAnsi="Times New Roman" w:eastAsia="宋体" w:cs="Times New Roman"/>
                <w:color w:val="auto"/>
                <w:szCs w:val="21"/>
                <w:highlight w:val="none"/>
                <w:lang w:val="en-US" w:eastAsia="zh-CN"/>
              </w:rPr>
              <w:t>门店数量</w:t>
            </w:r>
            <w:r>
              <w:rPr>
                <w:rFonts w:hint="eastAsia" w:ascii="Times New Roman" w:hAnsi="Times New Roman" w:eastAsia="宋体" w:cs="Times New Roman"/>
                <w:color w:val="auto"/>
                <w:szCs w:val="21"/>
                <w:highlight w:val="none"/>
              </w:rPr>
              <w:t>排名第一的，得</w:t>
            </w:r>
            <w:r>
              <w:rPr>
                <w:rFonts w:hint="eastAsia" w:hAnsi="Times New Roman" w:eastAsia="宋体" w:cs="Times New Roman"/>
                <w:color w:val="auto"/>
                <w:szCs w:val="21"/>
                <w:highlight w:val="none"/>
                <w:lang w:val="en-US" w:eastAsia="zh-CN"/>
              </w:rPr>
              <w:t>20</w:t>
            </w:r>
            <w:r>
              <w:rPr>
                <w:rFonts w:hint="eastAsia" w:ascii="Times New Roman" w:hAnsi="Times New Roman" w:eastAsia="宋体" w:cs="Times New Roman"/>
                <w:color w:val="auto"/>
                <w:szCs w:val="21"/>
                <w:highlight w:val="none"/>
              </w:rPr>
              <w:t>分；</w:t>
            </w:r>
          </w:p>
          <w:p>
            <w:pPr>
              <w:pStyle w:val="3"/>
              <w:spacing w:line="300" w:lineRule="exact"/>
              <w:rPr>
                <w:rFonts w:hint="eastAsia"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供应商在中山市内提供的蛋糕线下提货门店数量较多，分布区域较广</w:t>
            </w:r>
            <w:r>
              <w:rPr>
                <w:rFonts w:hint="eastAsia" w:hAnsi="Times New Roman" w:eastAsia="宋体" w:cs="Times New Roman"/>
                <w:color w:val="auto"/>
                <w:szCs w:val="21"/>
                <w:highlight w:val="none"/>
                <w:lang w:eastAsia="zh-CN"/>
              </w:rPr>
              <w:t>，</w:t>
            </w:r>
            <w:r>
              <w:rPr>
                <w:rFonts w:hint="eastAsia" w:hAnsi="Times New Roman" w:eastAsia="宋体" w:cs="Times New Roman"/>
                <w:color w:val="auto"/>
                <w:szCs w:val="21"/>
                <w:highlight w:val="none"/>
                <w:lang w:val="en-US" w:eastAsia="zh-CN"/>
              </w:rPr>
              <w:t>门店数量</w:t>
            </w:r>
            <w:r>
              <w:rPr>
                <w:rFonts w:hint="eastAsia" w:ascii="Times New Roman" w:hAnsi="Times New Roman" w:eastAsia="宋体" w:cs="Times New Roman"/>
                <w:color w:val="auto"/>
                <w:szCs w:val="21"/>
                <w:highlight w:val="none"/>
              </w:rPr>
              <w:t>排名第二的，得</w:t>
            </w:r>
            <w:r>
              <w:rPr>
                <w:rFonts w:hint="eastAsia" w:hAnsi="Times New Roman" w:eastAsia="宋体" w:cs="Times New Roman"/>
                <w:color w:val="auto"/>
                <w:szCs w:val="21"/>
                <w:highlight w:val="none"/>
                <w:lang w:val="en-US" w:eastAsia="zh-CN"/>
              </w:rPr>
              <w:t>15</w:t>
            </w:r>
            <w:r>
              <w:rPr>
                <w:rFonts w:hint="eastAsia" w:ascii="Times New Roman" w:hAnsi="Times New Roman" w:eastAsia="宋体" w:cs="Times New Roman"/>
                <w:color w:val="auto"/>
                <w:szCs w:val="21"/>
                <w:highlight w:val="none"/>
              </w:rPr>
              <w:t>分；</w:t>
            </w:r>
          </w:p>
          <w:p>
            <w:pPr>
              <w:pStyle w:val="3"/>
              <w:spacing w:line="300" w:lineRule="exact"/>
              <w:rPr>
                <w:rFonts w:hint="eastAsia"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供应商在中山市内提供的蛋糕线下提货门店数量少，分布区域较少</w:t>
            </w:r>
            <w:r>
              <w:rPr>
                <w:rFonts w:hint="eastAsia" w:hAnsi="Times New Roman" w:eastAsia="宋体" w:cs="Times New Roman"/>
                <w:color w:val="auto"/>
                <w:szCs w:val="21"/>
                <w:highlight w:val="none"/>
                <w:lang w:eastAsia="zh-CN"/>
              </w:rPr>
              <w:t>，</w:t>
            </w:r>
            <w:r>
              <w:rPr>
                <w:rFonts w:hint="eastAsia" w:hAnsi="Times New Roman" w:eastAsia="宋体" w:cs="Times New Roman"/>
                <w:color w:val="auto"/>
                <w:szCs w:val="21"/>
                <w:highlight w:val="none"/>
                <w:lang w:val="en-US" w:eastAsia="zh-CN"/>
              </w:rPr>
              <w:t>门店数量</w:t>
            </w:r>
            <w:r>
              <w:rPr>
                <w:rFonts w:hint="eastAsia" w:ascii="Times New Roman" w:hAnsi="Times New Roman" w:eastAsia="宋体" w:cs="Times New Roman"/>
                <w:color w:val="auto"/>
                <w:szCs w:val="21"/>
                <w:highlight w:val="none"/>
              </w:rPr>
              <w:t>排名第三的，得</w:t>
            </w:r>
            <w:r>
              <w:rPr>
                <w:rFonts w:hint="eastAsia" w:hAnsi="Times New Roman" w:eastAsia="宋体" w:cs="Times New Roman"/>
                <w:color w:val="auto"/>
                <w:szCs w:val="21"/>
                <w:highlight w:val="none"/>
                <w:lang w:val="en-US" w:eastAsia="zh-CN"/>
              </w:rPr>
              <w:t>10</w:t>
            </w:r>
            <w:r>
              <w:rPr>
                <w:rFonts w:hint="eastAsia" w:ascii="Times New Roman" w:hAnsi="Times New Roman" w:eastAsia="宋体" w:cs="Times New Roman"/>
                <w:color w:val="auto"/>
                <w:szCs w:val="21"/>
                <w:highlight w:val="none"/>
              </w:rPr>
              <w:t>分；</w:t>
            </w:r>
          </w:p>
          <w:p>
            <w:pPr>
              <w:pStyle w:val="3"/>
              <w:spacing w:line="300" w:lineRule="exact"/>
              <w:rPr>
                <w:rFonts w:hint="eastAsia"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未提供中山市内蛋糕线下提货门店</w:t>
            </w:r>
            <w:r>
              <w:rPr>
                <w:rFonts w:hint="eastAsia" w:hAnsi="Times New Roman" w:eastAsia="宋体" w:cs="Times New Roman"/>
                <w:color w:val="auto"/>
                <w:szCs w:val="21"/>
                <w:highlight w:val="none"/>
                <w:lang w:val="en-US" w:eastAsia="zh-CN"/>
              </w:rPr>
              <w:t>数量及分布</w:t>
            </w:r>
            <w:r>
              <w:rPr>
                <w:rFonts w:hint="eastAsia" w:ascii="Times New Roman" w:hAnsi="Times New Roman" w:eastAsia="宋体" w:cs="Times New Roman"/>
                <w:color w:val="auto"/>
                <w:szCs w:val="21"/>
                <w:highlight w:val="none"/>
              </w:rPr>
              <w:t>的不得分。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1" w:hRule="atLeast"/>
          <w:jc w:val="center"/>
        </w:trPr>
        <w:tc>
          <w:tcPr>
            <w:tcW w:w="2456" w:type="dxa"/>
            <w:gridSpan w:val="2"/>
            <w:noWrap w:val="0"/>
            <w:vAlign w:val="center"/>
          </w:tcPr>
          <w:p>
            <w:pPr>
              <w:jc w:val="center"/>
              <w:rPr>
                <w:rFonts w:hint="eastAsia" w:hAnsi="宋体" w:cs="宋体"/>
                <w:color w:val="auto"/>
                <w:sz w:val="21"/>
                <w:szCs w:val="21"/>
                <w:highlight w:val="none"/>
              </w:rPr>
            </w:pPr>
            <w:r>
              <w:rPr>
                <w:rFonts w:hint="eastAsia" w:hAnsi="宋体" w:cs="宋体"/>
                <w:bCs/>
                <w:color w:val="auto"/>
                <w:sz w:val="21"/>
                <w:szCs w:val="21"/>
                <w:highlight w:val="none"/>
              </w:rPr>
              <w:t>合计</w:t>
            </w:r>
          </w:p>
        </w:tc>
        <w:tc>
          <w:tcPr>
            <w:tcW w:w="727" w:type="dxa"/>
            <w:noWrap w:val="0"/>
            <w:vAlign w:val="center"/>
          </w:tcPr>
          <w:p>
            <w:pPr>
              <w:jc w:val="center"/>
              <w:rPr>
                <w:rFonts w:hAnsi="宋体" w:cs="宋体"/>
                <w:bCs/>
                <w:color w:val="auto"/>
                <w:sz w:val="21"/>
                <w:szCs w:val="21"/>
                <w:highlight w:val="none"/>
              </w:rPr>
            </w:pPr>
            <w:r>
              <w:rPr>
                <w:rFonts w:hint="eastAsia" w:hAnsi="宋体" w:cs="宋体"/>
                <w:bCs/>
                <w:color w:val="auto"/>
                <w:sz w:val="21"/>
                <w:szCs w:val="21"/>
                <w:highlight w:val="none"/>
                <w:lang w:val="en-US" w:eastAsia="zh-CN"/>
              </w:rPr>
              <w:t>6</w:t>
            </w:r>
            <w:r>
              <w:rPr>
                <w:rFonts w:hint="eastAsia" w:hAnsi="宋体" w:cs="宋体"/>
                <w:bCs/>
                <w:color w:val="auto"/>
                <w:sz w:val="21"/>
                <w:szCs w:val="21"/>
                <w:highlight w:val="none"/>
              </w:rPr>
              <w:t>0</w:t>
            </w:r>
          </w:p>
        </w:tc>
        <w:tc>
          <w:tcPr>
            <w:tcW w:w="5847" w:type="dxa"/>
            <w:noWrap w:val="0"/>
            <w:vAlign w:val="center"/>
          </w:tcPr>
          <w:p>
            <w:pPr>
              <w:rPr>
                <w:rFonts w:hint="eastAsia" w:hAnsi="宋体" w:cs="宋体"/>
                <w:color w:val="auto"/>
                <w:sz w:val="21"/>
                <w:szCs w:val="21"/>
                <w:highlight w:val="none"/>
              </w:rPr>
            </w:pPr>
          </w:p>
        </w:tc>
      </w:tr>
    </w:tbl>
    <w:p>
      <w:pPr>
        <w:pStyle w:val="6"/>
        <w:spacing w:line="240" w:lineRule="auto"/>
        <w:rPr>
          <w:rFonts w:hint="eastAsia" w:ascii="宋体" w:hAnsi="宋体" w:eastAsia="宋体" w:cs="仿宋"/>
          <w:color w:val="auto"/>
          <w:sz w:val="24"/>
          <w:szCs w:val="24"/>
          <w:highlight w:val="none"/>
        </w:rPr>
      </w:pPr>
      <w:bookmarkStart w:id="5" w:name="_Toc967"/>
      <w:bookmarkStart w:id="6" w:name="_Toc425695874"/>
      <w:r>
        <w:rPr>
          <w:rFonts w:hint="eastAsia" w:hAnsi="宋体" w:cs="仿宋"/>
          <w:b w:val="0"/>
          <w:color w:val="auto"/>
          <w:sz w:val="24"/>
          <w:szCs w:val="24"/>
          <w:highlight w:val="none"/>
        </w:rPr>
        <w:t>四、评审结果确定</w:t>
      </w:r>
      <w:bookmarkEnd w:id="5"/>
      <w:bookmarkEnd w:id="6"/>
    </w:p>
    <w:p>
      <w:pPr>
        <w:pStyle w:val="3"/>
        <w:spacing w:after="0" w:line="360" w:lineRule="auto"/>
        <w:ind w:firstLine="480" w:firstLineChars="200"/>
        <w:rPr>
          <w:rFonts w:hint="eastAsia" w:ascii="宋体" w:hAnsi="宋体" w:cs="仿宋"/>
          <w:color w:val="auto"/>
          <w:sz w:val="24"/>
          <w:highlight w:val="none"/>
        </w:rPr>
      </w:pPr>
      <w:r>
        <w:rPr>
          <w:rFonts w:hint="eastAsia" w:ascii="宋体" w:hAnsi="宋体" w:cs="仿宋"/>
          <w:color w:val="auto"/>
          <w:sz w:val="24"/>
          <w:highlight w:val="none"/>
        </w:rPr>
        <w:t>（一）通过资质评审的潜在供应商中选标准：以综合分数得分从高至低进行排名，前</w:t>
      </w:r>
      <w:r>
        <w:rPr>
          <w:rFonts w:hint="eastAsia" w:hAnsi="宋体" w:cs="仿宋"/>
          <w:color w:val="auto"/>
          <w:highlight w:val="none"/>
        </w:rPr>
        <w:t>3</w:t>
      </w:r>
      <w:r>
        <w:rPr>
          <w:rFonts w:hint="eastAsia" w:ascii="宋体" w:hAnsi="宋体" w:cs="仿宋"/>
          <w:color w:val="auto"/>
          <w:sz w:val="24"/>
          <w:highlight w:val="none"/>
        </w:rPr>
        <w:t>名为中选供应商，排名第4名的为第一候选中选潜在供应商，以此类推；</w:t>
      </w:r>
      <w:r>
        <w:rPr>
          <w:rFonts w:hint="eastAsia" w:ascii="宋体" w:hAnsi="宋体" w:cs="仿宋"/>
          <w:color w:val="auto"/>
          <w:sz w:val="24"/>
          <w:highlight w:val="none"/>
          <w:lang w:val="en-US" w:eastAsia="zh-CN"/>
        </w:rPr>
        <w:t>得分相同时，优先选择线下提货门店数量多的；</w:t>
      </w:r>
      <w:r>
        <w:rPr>
          <w:rFonts w:hint="eastAsia" w:ascii="宋体" w:hAnsi="宋体" w:cs="仿宋"/>
          <w:color w:val="auto"/>
          <w:sz w:val="24"/>
          <w:highlight w:val="none"/>
        </w:rPr>
        <w:t>如前3名中选的潜在供应商</w:t>
      </w:r>
      <w:r>
        <w:rPr>
          <w:rFonts w:hint="eastAsia" w:ascii="宋体" w:hAnsi="宋体" w:cs="仿宋"/>
          <w:color w:val="auto"/>
          <w:sz w:val="24"/>
          <w:highlight w:val="none"/>
          <w:lang w:val="en-US" w:eastAsia="zh-CN"/>
        </w:rPr>
        <w:t>中</w:t>
      </w:r>
      <w:r>
        <w:rPr>
          <w:rFonts w:hint="eastAsia" w:ascii="宋体" w:hAnsi="宋体" w:cs="仿宋"/>
          <w:color w:val="auto"/>
          <w:sz w:val="24"/>
          <w:highlight w:val="none"/>
        </w:rPr>
        <w:t>确定放弃中选资格的，则由候选中选潜在供应商补上。</w:t>
      </w:r>
    </w:p>
    <w:p>
      <w:pPr>
        <w:pStyle w:val="3"/>
        <w:spacing w:after="0" w:line="360" w:lineRule="auto"/>
        <w:ind w:firstLine="480" w:firstLineChars="200"/>
        <w:jc w:val="left"/>
        <w:rPr>
          <w:rFonts w:hint="eastAsia" w:ascii="宋体" w:hAnsi="宋体" w:cs="仿宋"/>
          <w:color w:val="auto"/>
          <w:sz w:val="24"/>
          <w:highlight w:val="none"/>
        </w:rPr>
      </w:pPr>
      <w:r>
        <w:rPr>
          <w:rFonts w:hint="eastAsia" w:ascii="宋体" w:hAnsi="宋体" w:cs="仿宋"/>
          <w:color w:val="auto"/>
          <w:sz w:val="24"/>
          <w:highlight w:val="none"/>
        </w:rPr>
        <w:t>（二）报名潜在供应商不足</w:t>
      </w:r>
      <w:r>
        <w:rPr>
          <w:rFonts w:hint="eastAsia" w:hAnsi="宋体" w:cs="仿宋"/>
          <w:color w:val="auto"/>
          <w:highlight w:val="none"/>
        </w:rPr>
        <w:t>3</w:t>
      </w:r>
      <w:r>
        <w:rPr>
          <w:rFonts w:hint="eastAsia" w:ascii="宋体" w:hAnsi="宋体" w:cs="仿宋"/>
          <w:color w:val="auto"/>
          <w:sz w:val="24"/>
          <w:highlight w:val="none"/>
        </w:rPr>
        <w:t>家的潜在供应商中选标准：通过资质评审的潜在供应商自动中选</w:t>
      </w:r>
      <w:r>
        <w:rPr>
          <w:rFonts w:hint="eastAsia" w:ascii="宋体" w:hAnsi="宋体" w:cs="仿宋"/>
          <w:color w:val="auto"/>
          <w:sz w:val="24"/>
          <w:highlight w:val="none"/>
          <w:lang w:val="en-US" w:eastAsia="zh-CN"/>
        </w:rPr>
        <w:t>成为</w:t>
      </w:r>
      <w:r>
        <w:rPr>
          <w:rFonts w:hint="eastAsia" w:ascii="宋体" w:hAnsi="宋体" w:cs="仿宋"/>
          <w:color w:val="auto"/>
          <w:sz w:val="24"/>
          <w:highlight w:val="none"/>
        </w:rPr>
        <w:t>供应商。</w:t>
      </w:r>
      <w:bookmarkStart w:id="7" w:name="_Toc425695875"/>
    </w:p>
    <w:p>
      <w:pPr>
        <w:pStyle w:val="6"/>
        <w:spacing w:line="240" w:lineRule="auto"/>
        <w:rPr>
          <w:rFonts w:hint="eastAsia" w:ascii="Arial" w:hAnsi="宋体" w:eastAsia="黑体" w:cs="仿宋"/>
          <w:b w:val="0"/>
          <w:bCs w:val="0"/>
          <w:color w:val="auto"/>
          <w:sz w:val="24"/>
          <w:szCs w:val="24"/>
          <w:highlight w:val="none"/>
          <w:lang w:val="en-US" w:eastAsia="zh-CN"/>
        </w:rPr>
      </w:pPr>
      <w:r>
        <w:rPr>
          <w:rFonts w:hint="eastAsia" w:ascii="Arial" w:hAnsi="宋体" w:cs="仿宋"/>
          <w:b w:val="0"/>
          <w:bCs w:val="0"/>
          <w:color w:val="auto"/>
          <w:sz w:val="24"/>
          <w:szCs w:val="24"/>
          <w:highlight w:val="none"/>
          <w:lang w:val="en-US" w:eastAsia="zh-CN"/>
        </w:rPr>
        <w:t>五、</w:t>
      </w:r>
      <w:r>
        <w:rPr>
          <w:rFonts w:hint="eastAsia" w:ascii="Arial" w:hAnsi="宋体" w:eastAsia="黑体" w:cs="仿宋"/>
          <w:b w:val="0"/>
          <w:bCs w:val="0"/>
          <w:color w:val="auto"/>
          <w:sz w:val="24"/>
          <w:szCs w:val="24"/>
          <w:highlight w:val="none"/>
          <w:lang w:val="en-US" w:eastAsia="zh-CN"/>
        </w:rPr>
        <w:t>评审结果公示</w:t>
      </w:r>
    </w:p>
    <w:p>
      <w:pPr>
        <w:pStyle w:val="6"/>
        <w:numPr>
          <w:ilvl w:val="0"/>
          <w:numId w:val="0"/>
        </w:numPr>
        <w:spacing w:line="360" w:lineRule="auto"/>
        <w:ind w:firstLine="480" w:firstLineChars="200"/>
      </w:pPr>
      <w:r>
        <w:rPr>
          <w:rFonts w:hint="eastAsia" w:ascii="宋体" w:hAnsi="宋体" w:eastAsia="宋体" w:cs="仿宋"/>
          <w:b w:val="0"/>
          <w:bCs w:val="0"/>
          <w:color w:val="auto"/>
          <w:sz w:val="24"/>
          <w:szCs w:val="24"/>
          <w:highlight w:val="none"/>
          <w:lang w:val="en-US" w:eastAsia="zh-CN"/>
        </w:rPr>
        <w:t>评审结束后，采购人将在采购人官方媒体以及中山产权服务网进行结果公示，公示期3日，在公示期结束后7日内由采购人向中选人发出《中选通知书》，《中选通知书》对中选人和采购人具有同等法律效力。如果参评供应商对此次评审结果有异议的，可在公示期内向采购人书面提出，但需对异议内容的真实性承担责任。采购人应自收到书面异议原件之日起3日内作出答复，并在答复前暂停本项目评选活动。</w:t>
      </w:r>
      <w:bookmarkEnd w:id="7"/>
      <w:bookmarkStart w:id="8" w:name="_GoBack"/>
      <w:bookmarkEnd w:id="8"/>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瀹?浣? color : black">
    <w:altName w:val="Segoe Print"/>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IyZGI5Y2MyMzIxYjEwNWU0N2MzNzE5OWZhNjFlMmUifQ=="/>
  </w:docVars>
  <w:rsids>
    <w:rsidRoot w:val="65E0554A"/>
    <w:rsid w:val="65E055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24"/>
      <w:lang w:val="en-US" w:eastAsia="zh-CN" w:bidi="ar-SA"/>
    </w:rPr>
  </w:style>
  <w:style w:type="paragraph" w:styleId="5">
    <w:name w:val="heading 1"/>
    <w:basedOn w:val="1"/>
    <w:next w:val="1"/>
    <w:qFormat/>
    <w:uiPriority w:val="0"/>
    <w:pPr>
      <w:keepNext/>
      <w:keepLines/>
      <w:spacing w:before="340" w:beforeLines="0" w:after="330" w:afterLines="0" w:line="578" w:lineRule="auto"/>
      <w:outlineLvl w:val="0"/>
    </w:pPr>
    <w:rPr>
      <w:rFonts w:ascii="Times New Roman"/>
      <w:b/>
      <w:bCs/>
      <w:kern w:val="44"/>
      <w:sz w:val="44"/>
      <w:szCs w:val="44"/>
    </w:rPr>
  </w:style>
  <w:style w:type="paragraph" w:styleId="6">
    <w:name w:val="heading 2"/>
    <w:basedOn w:val="1"/>
    <w:next w:val="1"/>
    <w:qFormat/>
    <w:uiPriority w:val="0"/>
    <w:pPr>
      <w:keepNext/>
      <w:keepLines/>
      <w:spacing w:before="260" w:beforeLines="0" w:after="260" w:afterLines="0" w:line="416" w:lineRule="auto"/>
      <w:outlineLvl w:val="1"/>
    </w:pPr>
    <w:rPr>
      <w:rFonts w:ascii="Arial" w:hAnsi="Arial" w:eastAsia="黑体"/>
      <w:b/>
      <w:bCs/>
      <w:kern w:val="2"/>
      <w:sz w:val="32"/>
      <w:szCs w:val="32"/>
    </w:rPr>
  </w:style>
  <w:style w:type="character" w:default="1" w:styleId="9">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1"/>
    <w:uiPriority w:val="0"/>
    <w:pPr>
      <w:ind w:firstLine="420" w:firstLineChars="100"/>
    </w:pPr>
  </w:style>
  <w:style w:type="paragraph" w:styleId="3">
    <w:name w:val="Body Text"/>
    <w:basedOn w:val="1"/>
    <w:next w:val="4"/>
    <w:qFormat/>
    <w:uiPriority w:val="0"/>
    <w:pPr>
      <w:spacing w:after="120" w:afterLines="0"/>
    </w:pPr>
    <w:rPr>
      <w:rFonts w:ascii="Times New Roman"/>
      <w:kern w:val="2"/>
      <w:sz w:val="21"/>
      <w:szCs w:val="24"/>
    </w:rPr>
  </w:style>
  <w:style w:type="paragraph" w:styleId="4">
    <w:name w:val="toc 5"/>
    <w:basedOn w:val="1"/>
    <w:next w:val="1"/>
    <w:uiPriority w:val="0"/>
    <w:pPr>
      <w:ind w:left="840"/>
      <w:jc w:val="left"/>
    </w:pPr>
    <w:rPr>
      <w:sz w:val="18"/>
      <w:szCs w:val="18"/>
    </w:rPr>
  </w:style>
  <w:style w:type="paragraph" w:styleId="7">
    <w:name w:val="toc 1"/>
    <w:basedOn w:val="1"/>
    <w:next w:val="1"/>
    <w:qFormat/>
    <w:uiPriority w:val="39"/>
    <w:pPr>
      <w:spacing w:before="120" w:beforeLines="0" w:after="120" w:afterLines="0"/>
      <w:jc w:val="left"/>
    </w:pPr>
    <w:rPr>
      <w:b/>
      <w:bCs/>
      <w:caps/>
      <w:sz w:val="20"/>
      <w:szCs w:val="20"/>
    </w:rPr>
  </w:style>
  <w:style w:type="character" w:styleId="10">
    <w:name w:val="Hyperlink"/>
    <w:qFormat/>
    <w:uiPriority w:val="99"/>
    <w:rPr>
      <w:rFonts w:hint="default" w:ascii="瀹?浣? color : black" w:hAnsi="瀹?浣? color : black" w:eastAsia="瀹?浣? color : black" w:cs="瀹?浣? color : black"/>
      <w:color w:val="0000FF"/>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2022-12-13T03:30:00Z</dcterms:created>
  <dc:creator>Yves-羽腾 </dc:creator>
  <cp:lastModifiedBy>Yves-羽腾 </cp:lastModifiedBy>
  <dcterms:modified xsi:type="dcterms:W3CDTF">2022-12-13T03:31:45Z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7659DA31A7FD49C48EE7B7E4BEA4F3DB</vt:lpwstr>
  </property>
</Properties>
</file>