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20"/>
          <w:tab w:val="left" w:pos="6660"/>
        </w:tabs>
        <w:kinsoku/>
        <w:topLinePunct w:val="0"/>
        <w:bidi w:val="0"/>
        <w:jc w:val="center"/>
        <w:rPr>
          <w:rFonts w:hint="eastAsia" w:ascii="宋体" w:hAnsi="宋体" w:eastAsia="宋体" w:cs="宋体"/>
          <w:b/>
          <w:color w:val="auto"/>
          <w:sz w:val="32"/>
          <w:szCs w:val="32"/>
          <w:highlight w:val="none"/>
        </w:rPr>
      </w:pPr>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bookmarkStart w:id="0" w:name="_Toc22419"/>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52"/>
          <w:szCs w:val="52"/>
          <w:highlight w:val="none"/>
          <w:lang w:val="en-US" w:eastAsia="zh-CN"/>
        </w:rPr>
        <w:t>中山市公共交通运输集团有限公司</w:t>
      </w:r>
    </w:p>
    <w:p>
      <w:pPr>
        <w:pStyle w:val="16"/>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hAnsi="宋体" w:eastAsia="宋体" w:cs="宋体"/>
          <w:b/>
          <w:color w:val="auto"/>
          <w:kern w:val="0"/>
          <w:sz w:val="44"/>
          <w:szCs w:val="44"/>
          <w:highlight w:val="none"/>
          <w:lang w:val="en-US" w:eastAsia="zh-CN"/>
        </w:rPr>
        <w:t>公交财政补贴政策研究咨询报告等服务采购</w:t>
      </w:r>
      <w:r>
        <w:rPr>
          <w:rFonts w:hint="eastAsia" w:ascii="宋体" w:hAnsi="宋体" w:eastAsia="宋体" w:cs="宋体"/>
          <w:b/>
          <w:color w:val="auto"/>
          <w:kern w:val="0"/>
          <w:sz w:val="44"/>
          <w:szCs w:val="44"/>
          <w:highlight w:val="none"/>
          <w:lang w:val="en-US" w:eastAsia="zh-CN"/>
        </w:rPr>
        <w:t>项目</w:t>
      </w:r>
    </w:p>
    <w:p>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bookmarkStart w:id="1" w:name="_Toc13975"/>
      <w:bookmarkStart w:id="2" w:name="_Toc29636"/>
      <w:r>
        <w:rPr>
          <w:rFonts w:hint="eastAsia" w:ascii="宋体" w:hAnsi="宋体" w:eastAsia="宋体" w:cs="宋体"/>
          <w:b/>
          <w:color w:val="auto"/>
          <w:sz w:val="44"/>
          <w:szCs w:val="44"/>
          <w:highlight w:val="none"/>
        </w:rPr>
        <w:t xml:space="preserve"> </w:t>
      </w:r>
    </w:p>
    <w:p>
      <w:pPr>
        <w:widowControl/>
        <w:tabs>
          <w:tab w:val="left" w:pos="567"/>
        </w:tabs>
        <w:autoSpaceDE w:val="0"/>
        <w:autoSpaceDN w:val="0"/>
        <w:jc w:val="center"/>
        <w:textAlignment w:val="bottom"/>
        <w:rPr>
          <w:rFonts w:hint="eastAsia" w:ascii="宋体" w:hAnsi="宋体" w:eastAsia="宋体" w:cs="宋体"/>
          <w:b/>
          <w:color w:val="auto"/>
          <w:sz w:val="44"/>
          <w:szCs w:val="44"/>
          <w:highlight w:val="none"/>
        </w:rPr>
      </w:pPr>
    </w:p>
    <w:p>
      <w:pPr>
        <w:widowControl/>
        <w:tabs>
          <w:tab w:val="left" w:pos="567"/>
        </w:tabs>
        <w:autoSpaceDE w:val="0"/>
        <w:autoSpaceDN w:val="0"/>
        <w:jc w:val="center"/>
        <w:textAlignment w:val="bottom"/>
        <w:rPr>
          <w:rFonts w:hint="eastAsia" w:ascii="宋体" w:hAnsi="宋体" w:eastAsia="宋体" w:cs="宋体"/>
          <w:color w:val="auto"/>
          <w:sz w:val="96"/>
          <w:szCs w:val="28"/>
          <w:highlight w:val="none"/>
        </w:rPr>
      </w:pPr>
      <w:r>
        <w:rPr>
          <w:rFonts w:hint="eastAsia" w:ascii="宋体" w:hAnsi="宋体" w:eastAsia="宋体" w:cs="宋体"/>
          <w:b/>
          <w:bCs/>
          <w:color w:val="auto"/>
          <w:sz w:val="96"/>
          <w:szCs w:val="28"/>
          <w:highlight w:val="none"/>
          <w:lang w:val="en-US" w:eastAsia="zh-CN"/>
        </w:rPr>
        <w:t>采购</w:t>
      </w:r>
      <w:r>
        <w:rPr>
          <w:rFonts w:hint="eastAsia" w:ascii="宋体" w:hAnsi="宋体" w:eastAsia="宋体" w:cs="宋体"/>
          <w:b/>
          <w:bCs/>
          <w:color w:val="auto"/>
          <w:sz w:val="96"/>
          <w:szCs w:val="28"/>
          <w:highlight w:val="none"/>
        </w:rPr>
        <w:t>文件</w:t>
      </w:r>
    </w:p>
    <w:bookmarkEnd w:id="1"/>
    <w:bookmarkEnd w:id="2"/>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b/>
          <w:color w:val="auto"/>
          <w:sz w:val="44"/>
          <w:szCs w:val="44"/>
          <w:highlight w:val="none"/>
          <w:lang w:val="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p>
    <w:p>
      <w:pPr>
        <w:pStyle w:val="16"/>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auto"/>
          <w:sz w:val="32"/>
          <w:szCs w:val="32"/>
          <w:highlight w:val="none"/>
          <w:lang w:val="en-US" w:eastAsia="zh-CN"/>
        </w:rPr>
      </w:pPr>
    </w:p>
    <w:p>
      <w:pPr>
        <w:pStyle w:val="16"/>
        <w:keepNext w:val="0"/>
        <w:keepLines w:val="0"/>
        <w:pageBreakBefore w:val="0"/>
        <w:kinsoku/>
        <w:topLinePunct w:val="0"/>
        <w:bidi w:val="0"/>
        <w:adjustRightInd w:val="0"/>
        <w:snapToGrid w:val="0"/>
        <w:spacing w:line="360" w:lineRule="auto"/>
        <w:jc w:val="both"/>
        <w:outlineLvl w:val="0"/>
        <w:rPr>
          <w:rFonts w:hint="eastAsia" w:ascii="宋体" w:hAnsi="宋体" w:eastAsia="宋体" w:cs="宋体"/>
          <w:color w:val="auto"/>
          <w:sz w:val="32"/>
          <w:szCs w:val="32"/>
          <w:highlight w:val="none"/>
          <w:lang w:val="en-US" w:eastAsia="zh-CN"/>
        </w:rPr>
      </w:pPr>
    </w:p>
    <w:p>
      <w:pPr>
        <w:pStyle w:val="16"/>
        <w:adjustRightInd w:val="0"/>
        <w:snapToGrid w:val="0"/>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中山市公共交通运输集团有限公司</w:t>
      </w:r>
      <w:bookmarkStart w:id="3" w:name="_Toc2576"/>
      <w:bookmarkStart w:id="4" w:name="_Toc14779"/>
    </w:p>
    <w:p>
      <w:pPr>
        <w:pStyle w:val="31"/>
        <w:jc w:val="center"/>
        <w:rPr>
          <w:rFonts w:hint="eastAsia" w:ascii="宋体" w:hAnsi="宋体" w:eastAsia="宋体" w:cs="宋体"/>
          <w:b/>
          <w:color w:val="auto"/>
          <w:sz w:val="44"/>
          <w:szCs w:val="44"/>
          <w:highlight w:val="none"/>
          <w:lang w:val="zh-CN"/>
        </w:rPr>
      </w:pPr>
      <w:r>
        <w:rPr>
          <w:rFonts w:hint="eastAsia" w:ascii="宋体" w:hAnsi="宋体" w:eastAsia="宋体" w:cs="宋体"/>
          <w:sz w:val="32"/>
          <w:szCs w:val="32"/>
        </w:rPr>
        <w:t>202</w:t>
      </w:r>
      <w:r>
        <w:rPr>
          <w:rFonts w:hint="eastAsia" w:ascii="宋体" w:hAnsi="宋体" w:cs="宋体"/>
          <w:sz w:val="32"/>
          <w:szCs w:val="32"/>
          <w:lang w:val="en-US" w:eastAsia="zh-CN"/>
        </w:rPr>
        <w:t>3</w:t>
      </w:r>
      <w:r>
        <w:rPr>
          <w:rFonts w:hint="eastAsia" w:ascii="宋体" w:hAnsi="宋体" w:eastAsia="宋体" w:cs="宋体"/>
          <w:sz w:val="32"/>
          <w:szCs w:val="32"/>
        </w:rPr>
        <w:t>年</w:t>
      </w:r>
      <w:r>
        <w:rPr>
          <w:rFonts w:hint="eastAsia" w:ascii="宋体" w:hAnsi="宋体" w:cs="宋体"/>
          <w:sz w:val="32"/>
          <w:szCs w:val="32"/>
          <w:u w:val="none"/>
          <w:lang w:val="en-US" w:eastAsia="zh-CN"/>
        </w:rPr>
        <w:t>10</w:t>
      </w:r>
      <w:r>
        <w:rPr>
          <w:rFonts w:hint="eastAsia" w:ascii="宋体" w:hAnsi="宋体" w:eastAsia="宋体" w:cs="宋体"/>
          <w:sz w:val="32"/>
          <w:szCs w:val="32"/>
          <w:u w:val="none"/>
        </w:rPr>
        <w:t>月</w:t>
      </w:r>
    </w:p>
    <w:p>
      <w:pPr>
        <w:spacing w:line="460" w:lineRule="exact"/>
        <w:jc w:val="center"/>
        <w:rPr>
          <w:rFonts w:hint="eastAsia" w:ascii="宋体" w:hAnsi="宋体" w:eastAsia="宋体" w:cs="宋体"/>
          <w:b/>
          <w:color w:val="auto"/>
          <w:sz w:val="44"/>
          <w:szCs w:val="28"/>
          <w:highlight w:val="none"/>
        </w:rPr>
      </w:pPr>
    </w:p>
    <w:p>
      <w:pPr>
        <w:spacing w:line="460" w:lineRule="exact"/>
        <w:jc w:val="center"/>
        <w:rPr>
          <w:rFonts w:hint="eastAsia" w:ascii="宋体" w:hAnsi="宋体" w:eastAsia="宋体" w:cs="宋体"/>
          <w:b/>
          <w:color w:val="auto"/>
          <w:sz w:val="44"/>
          <w:szCs w:val="28"/>
          <w:highlight w:val="none"/>
        </w:rPr>
      </w:pPr>
      <w:r>
        <w:rPr>
          <w:rFonts w:hint="eastAsia" w:ascii="宋体" w:hAnsi="宋体" w:eastAsia="宋体" w:cs="宋体"/>
          <w:b/>
          <w:color w:val="auto"/>
          <w:sz w:val="44"/>
          <w:szCs w:val="28"/>
          <w:highlight w:val="none"/>
        </w:rPr>
        <w:br w:type="page"/>
      </w:r>
      <w:r>
        <w:rPr>
          <w:rFonts w:hint="eastAsia" w:ascii="宋体" w:hAnsi="宋体" w:eastAsia="宋体" w:cs="宋体"/>
          <w:b/>
          <w:color w:val="auto"/>
          <w:sz w:val="44"/>
          <w:szCs w:val="28"/>
          <w:highlight w:val="none"/>
        </w:rPr>
        <w:t>目</w:t>
      </w:r>
      <w:r>
        <w:rPr>
          <w:rFonts w:hint="eastAsia" w:ascii="宋体" w:hAnsi="宋体" w:eastAsia="宋体" w:cs="宋体"/>
          <w:b/>
          <w:color w:val="auto"/>
          <w:sz w:val="44"/>
          <w:szCs w:val="28"/>
          <w:highlight w:val="none"/>
          <w:lang w:val="en-US" w:eastAsia="zh-CN"/>
        </w:rPr>
        <w:t xml:space="preserve">  </w:t>
      </w:r>
      <w:r>
        <w:rPr>
          <w:rFonts w:hint="eastAsia" w:ascii="宋体" w:hAnsi="宋体" w:eastAsia="宋体" w:cs="宋体"/>
          <w:b/>
          <w:color w:val="auto"/>
          <w:sz w:val="44"/>
          <w:szCs w:val="28"/>
          <w:highlight w:val="none"/>
        </w:rPr>
        <w:t>录</w:t>
      </w:r>
    </w:p>
    <w:p>
      <w:pPr>
        <w:spacing w:line="460" w:lineRule="exact"/>
        <w:jc w:val="center"/>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第一部分  邀请</w:t>
      </w:r>
      <w:r>
        <w:rPr>
          <w:rFonts w:hint="eastAsia" w:ascii="宋体" w:hAnsi="宋体" w:eastAsia="宋体" w:cs="宋体"/>
          <w:b/>
          <w:color w:val="auto"/>
          <w:sz w:val="28"/>
          <w:szCs w:val="28"/>
          <w:highlight w:val="none"/>
          <w:lang w:val="en-US" w:eastAsia="zh-CN"/>
        </w:rPr>
        <w:t>函</w:t>
      </w:r>
    </w:p>
    <w:p>
      <w:pPr>
        <w:spacing w:line="460" w:lineRule="exact"/>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 xml:space="preserve">部分  </w:t>
      </w:r>
      <w:r>
        <w:rPr>
          <w:rFonts w:hint="eastAsia" w:ascii="宋体" w:hAnsi="宋体" w:eastAsia="宋体" w:cs="宋体"/>
          <w:b/>
          <w:color w:val="auto"/>
          <w:sz w:val="28"/>
          <w:szCs w:val="28"/>
          <w:highlight w:val="none"/>
          <w:lang w:val="en-US" w:eastAsia="zh-CN"/>
        </w:rPr>
        <w:t>用户</w:t>
      </w:r>
      <w:r>
        <w:rPr>
          <w:rFonts w:hint="eastAsia" w:ascii="宋体" w:hAnsi="宋体" w:eastAsia="宋体" w:cs="宋体"/>
          <w:b/>
          <w:color w:val="auto"/>
          <w:sz w:val="28"/>
          <w:szCs w:val="28"/>
          <w:highlight w:val="none"/>
        </w:rPr>
        <w:t>需求</w:t>
      </w:r>
      <w:r>
        <w:rPr>
          <w:rFonts w:hint="eastAsia" w:ascii="宋体" w:hAnsi="宋体" w:eastAsia="宋体" w:cs="宋体"/>
          <w:b/>
          <w:color w:val="auto"/>
          <w:sz w:val="28"/>
          <w:szCs w:val="28"/>
          <w:highlight w:val="none"/>
          <w:lang w:val="en-US" w:eastAsia="zh-CN"/>
        </w:rPr>
        <w:t>书</w:t>
      </w:r>
    </w:p>
    <w:p>
      <w:pPr>
        <w:spacing w:line="460" w:lineRule="exact"/>
        <w:rPr>
          <w:rFonts w:hint="eastAsia" w:ascii="宋体" w:hAnsi="宋体" w:eastAsia="宋体" w:cs="宋体"/>
          <w:b/>
          <w:color w:val="auto"/>
          <w:sz w:val="28"/>
          <w:szCs w:val="28"/>
          <w:highlight w:val="none"/>
        </w:rPr>
      </w:pPr>
    </w:p>
    <w:p>
      <w:p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部分  评审</w:t>
      </w:r>
      <w:r>
        <w:rPr>
          <w:rFonts w:hint="eastAsia" w:ascii="宋体" w:hAnsi="宋体" w:eastAsia="宋体" w:cs="宋体"/>
          <w:b/>
          <w:color w:val="auto"/>
          <w:sz w:val="28"/>
          <w:szCs w:val="28"/>
          <w:highlight w:val="none"/>
          <w:lang w:val="en-US" w:eastAsia="zh-CN"/>
        </w:rPr>
        <w:t>标准</w:t>
      </w:r>
    </w:p>
    <w:p>
      <w:pPr>
        <w:spacing w:line="460" w:lineRule="exact"/>
        <w:rPr>
          <w:rFonts w:hint="eastAsia" w:ascii="宋体" w:hAnsi="宋体" w:eastAsia="宋体" w:cs="宋体"/>
          <w:b/>
          <w:color w:val="auto"/>
          <w:sz w:val="28"/>
          <w:szCs w:val="28"/>
          <w:highlight w:val="none"/>
        </w:rPr>
      </w:pPr>
    </w:p>
    <w:p>
      <w:pPr>
        <w:numPr>
          <w:ilvl w:val="0"/>
          <w:numId w:val="0"/>
        </w:numPr>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第四部分 </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参评</w:t>
      </w:r>
      <w:r>
        <w:rPr>
          <w:rFonts w:hint="eastAsia" w:ascii="宋体" w:hAnsi="宋体" w:eastAsia="宋体" w:cs="宋体"/>
          <w:b/>
          <w:color w:val="auto"/>
          <w:sz w:val="28"/>
          <w:szCs w:val="28"/>
          <w:highlight w:val="none"/>
        </w:rPr>
        <w:t>响应文件格式</w:t>
      </w:r>
    </w:p>
    <w:p>
      <w:pPr>
        <w:pStyle w:val="16"/>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31"/>
        <w:rPr>
          <w:rFonts w:hint="eastAsia" w:ascii="宋体" w:hAnsi="宋体" w:eastAsia="宋体" w:cs="宋体"/>
          <w:b/>
          <w:bCs/>
          <w:color w:val="auto"/>
          <w:sz w:val="44"/>
          <w:szCs w:val="44"/>
          <w:highlight w:val="none"/>
        </w:rPr>
      </w:pPr>
    </w:p>
    <w:p>
      <w:pPr>
        <w:rPr>
          <w:rFonts w:hint="eastAsia" w:ascii="宋体" w:hAnsi="宋体" w:eastAsia="宋体" w:cs="宋体"/>
          <w:b/>
          <w:bCs/>
          <w:color w:val="auto"/>
          <w:sz w:val="44"/>
          <w:szCs w:val="44"/>
          <w:highlight w:val="none"/>
        </w:rPr>
      </w:pPr>
    </w:p>
    <w:p>
      <w:pPr>
        <w:pStyle w:val="44"/>
        <w:rPr>
          <w:rFonts w:hint="eastAsia" w:ascii="宋体" w:hAnsi="宋体" w:eastAsia="宋体" w:cs="宋体"/>
          <w:b/>
          <w:bCs/>
          <w:color w:val="auto"/>
          <w:sz w:val="44"/>
          <w:szCs w:val="44"/>
          <w:highlight w:val="none"/>
        </w:rPr>
      </w:pPr>
    </w:p>
    <w:p>
      <w:pPr>
        <w:pStyle w:val="44"/>
        <w:rPr>
          <w:rFonts w:hint="eastAsia" w:ascii="宋体" w:hAnsi="宋体" w:eastAsia="宋体" w:cs="宋体"/>
          <w:b/>
          <w:bCs/>
          <w:color w:val="auto"/>
          <w:sz w:val="44"/>
          <w:szCs w:val="44"/>
          <w:highlight w:val="none"/>
        </w:rPr>
      </w:pPr>
    </w:p>
    <w:p>
      <w:pPr>
        <w:rPr>
          <w:rFonts w:hint="eastAsia"/>
          <w:color w:val="auto"/>
          <w:highlight w:val="none"/>
        </w:rPr>
      </w:pPr>
    </w:p>
    <w:p>
      <w:pPr>
        <w:pStyle w:val="16"/>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color w:val="auto"/>
          <w:kern w:val="28"/>
          <w:sz w:val="44"/>
          <w:szCs w:val="44"/>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第一部分</w:t>
      </w:r>
      <w:r>
        <w:rPr>
          <w:rFonts w:hint="eastAsia"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 xml:space="preserve"> 邀请函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auto"/>
          <w:spacing w:val="20"/>
          <w:sz w:val="24"/>
          <w:szCs w:val="24"/>
          <w:highlight w:val="none"/>
          <w:lang w:val="en-US" w:eastAsia="zh-CN"/>
        </w:rPr>
      </w:pPr>
      <w:r>
        <w:rPr>
          <w:rFonts w:hint="eastAsia" w:ascii="宋体" w:hAnsi="宋体" w:eastAsia="宋体" w:cs="宋体"/>
          <w:b w:val="0"/>
          <w:bCs w:val="0"/>
          <w:color w:val="auto"/>
          <w:spacing w:val="20"/>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20"/>
          <w:sz w:val="24"/>
          <w:szCs w:val="24"/>
          <w:highlight w:val="none"/>
          <w:lang w:val="en-US" w:eastAsia="zh-CN"/>
        </w:rPr>
        <w:t>现就中山市公共交通运输集团有限公司公交财政补贴政策研究咨询报告等服务采购项目进行公开采购，欢迎符合资格条件的供应商参与评选，有关事项如下：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一、项目名称：</w:t>
      </w:r>
      <w:r>
        <w:rPr>
          <w:rFonts w:hint="eastAsia" w:ascii="宋体" w:hAnsi="宋体" w:eastAsia="宋体" w:cs="宋体"/>
          <w:b w:val="0"/>
          <w:bCs w:val="0"/>
          <w:color w:val="auto"/>
          <w:sz w:val="24"/>
          <w:szCs w:val="24"/>
          <w:highlight w:val="none"/>
          <w:lang w:val="en-US" w:eastAsia="zh-CN"/>
        </w:rPr>
        <w:t>中山市公共交通运输集团有限公司</w:t>
      </w:r>
      <w:r>
        <w:rPr>
          <w:rFonts w:hint="eastAsia" w:ascii="宋体" w:hAnsi="宋体" w:eastAsia="宋体" w:cs="宋体"/>
          <w:b w:val="0"/>
          <w:bCs w:val="0"/>
          <w:color w:val="auto"/>
          <w:spacing w:val="20"/>
          <w:sz w:val="24"/>
          <w:szCs w:val="24"/>
          <w:highlight w:val="none"/>
          <w:lang w:val="en-US" w:eastAsia="zh-CN"/>
        </w:rPr>
        <w:t>公交财政补贴政策研究咨询报告等服务采购项目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二、项目要求：</w:t>
      </w:r>
      <w:r>
        <w:rPr>
          <w:rFonts w:hint="eastAsia" w:ascii="宋体" w:hAnsi="宋体" w:eastAsia="宋体" w:cs="宋体"/>
          <w:b w:val="0"/>
          <w:bCs w:val="0"/>
          <w:color w:val="auto"/>
          <w:sz w:val="24"/>
          <w:szCs w:val="24"/>
          <w:highlight w:val="none"/>
          <w:lang w:val="en-US" w:eastAsia="zh-CN"/>
        </w:rPr>
        <w:t>详细技术参数见第二部分《用户需求书》</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三、资金来源：</w:t>
      </w:r>
      <w:r>
        <w:rPr>
          <w:rFonts w:hint="eastAsia" w:ascii="宋体" w:hAnsi="宋体" w:eastAsia="宋体" w:cs="宋体"/>
          <w:b w:val="0"/>
          <w:bCs w:val="0"/>
          <w:color w:val="auto"/>
          <w:sz w:val="24"/>
          <w:szCs w:val="24"/>
          <w:highlight w:val="none"/>
          <w:lang w:val="en-US" w:eastAsia="zh-CN"/>
        </w:rPr>
        <w:t>自筹资金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四、预算金额及总报价限价：</w:t>
      </w:r>
      <w:r>
        <w:rPr>
          <w:rFonts w:hint="eastAsia" w:ascii="宋体" w:hAnsi="宋体" w:eastAsia="宋体" w:cs="宋体"/>
          <w:b w:val="0"/>
          <w:bCs w:val="0"/>
          <w:color w:val="auto"/>
          <w:sz w:val="24"/>
          <w:szCs w:val="24"/>
          <w:highlight w:val="none"/>
          <w:lang w:val="en-US" w:eastAsia="zh-CN"/>
        </w:rPr>
        <w:t>不高于¥</w:t>
      </w:r>
      <w:r>
        <w:rPr>
          <w:rFonts w:ascii="宋体" w:hAnsi="宋体" w:eastAsia="宋体" w:cs="宋体"/>
          <w:i w:val="0"/>
          <w:iCs w:val="0"/>
          <w:caps w:val="0"/>
          <w:color w:val="0000FF"/>
          <w:spacing w:val="0"/>
          <w:sz w:val="27"/>
          <w:szCs w:val="27"/>
          <w:shd w:val="clear" w:color="auto" w:fill="FFFFFF"/>
        </w:rPr>
        <w:t>99833</w:t>
      </w:r>
      <w:r>
        <w:rPr>
          <w:rFonts w:hint="eastAsia" w:ascii="宋体" w:hAnsi="宋体" w:eastAsia="宋体" w:cs="宋体"/>
          <w:b w:val="0"/>
          <w:bCs w:val="0"/>
          <w:color w:val="auto"/>
          <w:sz w:val="24"/>
          <w:szCs w:val="24"/>
          <w:highlight w:val="none"/>
          <w:lang w:val="en-US" w:eastAsia="zh-CN"/>
        </w:rPr>
        <w:t>.00元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调研珠三角各城市公交企业及财政补贴方向、模式及现状，比较分析各地补贴政策的优势、劣势，结合近期国内公交出现形势，研究提出中山修订完善成本规制政策的建议，攥写1份研究报告，相应形成1份资政报告，为中山公交发展提供决策支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（二）协助修改报送有关单位报告2篇。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（三）协助起草5份公交宣传策划活动方案。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（四）协助向中山+等市内主流媒体推送相关新闻报道2篇。</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、合格</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具有独立承担民事责任能力的在中华人民共和国境内注册的企业法人或其他社会组织，提供营业执照等。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（二）供应商承诺不得以任何方式转包或分包本项目。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（三）供应商具有城市经济社会发展研究</w:t>
      </w:r>
      <w:r>
        <w:rPr>
          <w:rFonts w:hint="eastAsia" w:ascii="宋体" w:hAnsi="宋体" w:cs="宋体"/>
          <w:sz w:val="24"/>
        </w:rPr>
        <w:t>或管理咨询服务、信息咨询服务等</w:t>
      </w:r>
      <w:r>
        <w:rPr>
          <w:rFonts w:hint="eastAsia" w:ascii="宋体" w:hAnsi="宋体" w:eastAsia="宋体" w:cs="宋体"/>
          <w:color w:val="auto"/>
          <w:sz w:val="24"/>
          <w:szCs w:val="24"/>
          <w:highlight w:val="none"/>
          <w:lang w:val="en-US" w:eastAsia="zh-CN"/>
        </w:rPr>
        <w:t>相关资质。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（四）参评供应商满足本项目的主要需求，填写《需求响应表》并全部完全响应，无负偏离。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）非联合体潜在供应商参评报价。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）报价为唯一固定价且未超过报价限价。</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、获取</w:t>
      </w:r>
      <w:r>
        <w:rPr>
          <w:rFonts w:hint="eastAsia" w:ascii="宋体" w:hAnsi="宋体" w:eastAsia="宋体" w:cs="宋体"/>
          <w:b/>
          <w:bCs/>
          <w:color w:val="auto"/>
          <w:sz w:val="24"/>
          <w:szCs w:val="24"/>
          <w:highlight w:val="none"/>
          <w:lang w:val="en-US" w:eastAsia="zh-CN"/>
        </w:rPr>
        <w:t>公开采购</w:t>
      </w:r>
      <w:r>
        <w:rPr>
          <w:rFonts w:hint="eastAsia" w:ascii="宋体" w:hAnsi="宋体" w:eastAsia="宋体" w:cs="宋体"/>
          <w:b/>
          <w:bCs/>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）本项目的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公告信息在</w:t>
      </w:r>
      <w:r>
        <w:rPr>
          <w:rFonts w:hint="eastAsia" w:ascii="宋体" w:hAnsi="宋体" w:eastAsia="宋体" w:cs="宋体"/>
          <w:color w:val="auto"/>
          <w:sz w:val="24"/>
          <w:szCs w:val="24"/>
          <w:highlight w:val="none"/>
        </w:rPr>
        <w:t>中山市</w:t>
      </w:r>
      <w:r>
        <w:rPr>
          <w:rFonts w:hint="eastAsia" w:ascii="宋体" w:hAnsi="宋体" w:eastAsia="宋体" w:cs="宋体"/>
          <w:color w:val="auto"/>
          <w:sz w:val="24"/>
          <w:szCs w:val="24"/>
          <w:highlight w:val="none"/>
          <w:lang w:eastAsia="zh-CN"/>
        </w:rPr>
        <w:t>公共交通运输集团有限公司</w:t>
      </w:r>
      <w:r>
        <w:rPr>
          <w:rFonts w:hint="eastAsia" w:ascii="宋体" w:hAnsi="宋体" w:eastAsia="宋体" w:cs="宋体"/>
          <w:color w:val="auto"/>
          <w:sz w:val="24"/>
          <w:szCs w:val="24"/>
          <w:highlight w:val="none"/>
          <w:lang w:val="en-US" w:eastAsia="zh-CN"/>
        </w:rPr>
        <w:t>官方</w:t>
      </w:r>
      <w:r>
        <w:rPr>
          <w:rFonts w:hint="eastAsia" w:ascii="宋体" w:hAnsi="宋体" w:eastAsia="宋体" w:cs="宋体"/>
          <w:color w:val="auto"/>
          <w:sz w:val="24"/>
          <w:szCs w:val="24"/>
          <w:highlight w:val="none"/>
          <w:lang w:eastAsia="zh-CN"/>
        </w:rPr>
        <w:t>网</w:t>
      </w:r>
      <w:r>
        <w:rPr>
          <w:rFonts w:hint="eastAsia" w:ascii="宋体" w:hAnsi="宋体" w:eastAsia="宋体" w:cs="宋体"/>
          <w:color w:val="auto"/>
          <w:sz w:val="24"/>
          <w:szCs w:val="24"/>
          <w:highlight w:val="none"/>
          <w:lang w:val="en-US" w:eastAsia="zh-CN"/>
        </w:rPr>
        <w:t>站</w:t>
      </w:r>
      <w:r>
        <w:rPr>
          <w:rFonts w:hint="eastAsia" w:ascii="宋体" w:hAnsi="宋体" w:eastAsia="宋体" w:cs="宋体"/>
          <w:color w:val="auto"/>
          <w:sz w:val="24"/>
          <w:szCs w:val="24"/>
          <w:highlight w:val="none"/>
          <w:lang w:eastAsia="zh-CN"/>
        </w:rPr>
        <w:t>（https://www.zsbus.cn/infolist.aspx?cid=35）及中山产权服务网（http://zscq.zsnews.cn/）上公布，并视为有效送达，不再另行通知。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）符合资格的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自行在</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lang w:eastAsia="zh-CN"/>
        </w:rPr>
        <w:t>公告网站下载</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文件下载时间：</w:t>
      </w:r>
      <w:r>
        <w:rPr>
          <w:rFonts w:hint="eastAsia" w:ascii="宋体" w:hAnsi="宋体" w:eastAsia="宋体" w:cs="宋体"/>
          <w:color w:val="auto"/>
          <w:sz w:val="24"/>
          <w:szCs w:val="24"/>
          <w:highlight w:val="none"/>
          <w:lang w:val="en-US" w:eastAsia="zh-CN"/>
        </w:rPr>
        <w:t>自本项目公告发布之日起</w:t>
      </w:r>
      <w:r>
        <w:rPr>
          <w:rFonts w:hint="eastAsia" w:ascii="宋体" w:hAnsi="宋体" w:eastAsia="宋体" w:cs="宋体"/>
          <w:color w:val="auto"/>
          <w:sz w:val="24"/>
          <w:szCs w:val="24"/>
          <w:highlight w:val="none"/>
          <w:lang w:eastAsia="zh-CN"/>
        </w:rPr>
        <w:t>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17:30</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报名要求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报名方式：供应商自行获取采购</w:t>
      </w:r>
      <w:r>
        <w:rPr>
          <w:rFonts w:hint="eastAsia" w:ascii="宋体" w:hAnsi="宋体" w:eastAsia="宋体" w:cs="宋体"/>
          <w:color w:val="auto"/>
          <w:sz w:val="24"/>
          <w:szCs w:val="24"/>
          <w:highlight w:val="none"/>
          <w:lang w:eastAsia="zh-CN"/>
        </w:rPr>
        <w:t>文件后，需在报名时间截止前提交</w:t>
      </w:r>
      <w:r>
        <w:rPr>
          <w:rFonts w:hint="eastAsia" w:ascii="宋体" w:hAnsi="宋体" w:eastAsia="宋体" w:cs="宋体"/>
          <w:color w:val="auto"/>
          <w:sz w:val="24"/>
          <w:szCs w:val="24"/>
          <w:highlight w:val="none"/>
          <w:lang w:val="en-US" w:eastAsia="zh-CN"/>
        </w:rPr>
        <w:t>一份参评文件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参评文件格式要求详见第四部分《参评响应文件格式》；</w:t>
      </w:r>
      <w:r>
        <w:rPr>
          <w:rFonts w:hint="eastAsia" w:ascii="宋体" w:hAnsi="宋体" w:eastAsia="宋体" w:cs="宋体"/>
          <w:b/>
          <w:bCs/>
          <w:color w:val="auto"/>
          <w:sz w:val="24"/>
          <w:szCs w:val="24"/>
          <w:highlight w:val="none"/>
          <w:lang w:val="en-US" w:eastAsia="zh-CN"/>
        </w:rPr>
        <w:t>参评文件要求盖章后扫描，发送到指定邮箱</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（二）报名时间：自本项目公告发布之日起至2023年10月1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日17:30，超时不接受任何供应商报名。</w:t>
      </w:r>
    </w:p>
    <w:p>
      <w:pPr>
        <w:pStyle w:val="31"/>
        <w:spacing w:line="560" w:lineRule="exact"/>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（三）参评文件递交邮箱：</w:t>
      </w:r>
      <w:r>
        <w:rPr>
          <w:rFonts w:hint="eastAsia" w:ascii="宋体" w:hAnsi="宋体" w:eastAsia="宋体" w:cs="宋体"/>
          <w:i w:val="0"/>
          <w:color w:val="auto"/>
          <w:sz w:val="24"/>
          <w:szCs w:val="24"/>
          <w:highlight w:val="none"/>
          <w:u w:val="none"/>
        </w:rPr>
        <w:t>zsbus_auditing@163.com</w:t>
      </w:r>
      <w:r>
        <w:rPr>
          <w:rFonts w:hint="eastAsia" w:ascii="宋体" w:hAnsi="宋体" w:eastAsia="宋体" w:cs="宋体"/>
          <w:color w:val="auto"/>
          <w:sz w:val="24"/>
          <w:szCs w:val="24"/>
          <w:highlight w:val="none"/>
          <w:lang w:val="en-US" w:eastAsia="zh-CN"/>
        </w:rPr>
        <w:t>。</w:t>
      </w:r>
    </w:p>
    <w:p>
      <w:pPr>
        <w:spacing w:line="56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项目评审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（一）评审时间：2023年10月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（二）评审地点：中山公交集团城南办公楼会议室，评审时供应商无需到场参加。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评审结果公示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评审结束后，采购人将在</w:t>
      </w:r>
      <w:r>
        <w:rPr>
          <w:rFonts w:hint="eastAsia" w:ascii="宋体" w:hAnsi="宋体" w:eastAsia="宋体" w:cs="宋体"/>
          <w:color w:val="auto"/>
          <w:sz w:val="24"/>
          <w:szCs w:val="24"/>
          <w:highlight w:val="none"/>
        </w:rPr>
        <w:t>中山市公共交通运输集团有限公司</w:t>
      </w:r>
      <w:r>
        <w:rPr>
          <w:rFonts w:hint="eastAsia" w:ascii="宋体" w:hAnsi="宋体" w:eastAsia="宋体" w:cs="宋体"/>
          <w:color w:val="auto"/>
          <w:sz w:val="24"/>
          <w:szCs w:val="24"/>
          <w:highlight w:val="none"/>
          <w:lang w:val="en-US" w:eastAsia="zh-CN"/>
        </w:rPr>
        <w:t>官方</w:t>
      </w:r>
      <w:r>
        <w:rPr>
          <w:rFonts w:hint="eastAsia" w:ascii="宋体" w:hAnsi="宋体" w:eastAsia="宋体" w:cs="宋体"/>
          <w:color w:val="auto"/>
          <w:sz w:val="24"/>
          <w:szCs w:val="24"/>
          <w:highlight w:val="none"/>
        </w:rPr>
        <w:t>网</w:t>
      </w:r>
      <w:r>
        <w:rPr>
          <w:rFonts w:hint="eastAsia" w:ascii="宋体" w:hAnsi="宋体" w:eastAsia="宋体" w:cs="宋体"/>
          <w:color w:val="auto"/>
          <w:sz w:val="24"/>
          <w:szCs w:val="24"/>
          <w:highlight w:val="none"/>
          <w:lang w:val="en-US" w:eastAsia="zh-CN"/>
        </w:rPr>
        <w:t>站</w:t>
      </w:r>
      <w:r>
        <w:rPr>
          <w:rFonts w:hint="eastAsia" w:ascii="宋体" w:hAnsi="宋体" w:eastAsia="宋体" w:cs="宋体"/>
          <w:color w:val="auto"/>
          <w:sz w:val="24"/>
          <w:szCs w:val="24"/>
          <w:highlight w:val="none"/>
        </w:rPr>
        <w:t>（https://www.zsbus.cn/infolist.aspx?cid=35）</w:t>
      </w:r>
      <w:r>
        <w:rPr>
          <w:rFonts w:hint="eastAsia" w:ascii="宋体" w:hAnsi="宋体" w:eastAsia="宋体" w:cs="宋体"/>
          <w:color w:val="auto"/>
          <w:sz w:val="24"/>
          <w:szCs w:val="24"/>
          <w:highlight w:val="none"/>
          <w:lang w:eastAsia="zh-CN"/>
        </w:rPr>
        <w:t>及中山产权服务网（http://zscq.zsnews.cn/）上</w:t>
      </w:r>
      <w:r>
        <w:rPr>
          <w:rFonts w:hint="eastAsia" w:ascii="宋体" w:hAnsi="宋体" w:eastAsia="宋体" w:cs="宋体"/>
          <w:b w:val="0"/>
          <w:bCs w:val="0"/>
          <w:color w:val="auto"/>
          <w:sz w:val="24"/>
          <w:szCs w:val="24"/>
          <w:highlight w:val="none"/>
          <w:lang w:val="en-US" w:eastAsia="zh-CN"/>
        </w:rPr>
        <w:t>进行结果公示，公示期2日。如果参评供应商对此次评审结果有异议的，可在公示期内向采购人书面提出，但需对异议内容的真实性承担责任。采购人应自收到书面异议原件之日起3日内作出答复，并在答复前暂停本项目评选活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eastAsia="zh-CN"/>
        </w:rPr>
        <w:t>采购人联系方式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采购人联系电话：</w:t>
      </w:r>
      <w:r>
        <w:rPr>
          <w:rFonts w:hint="eastAsia" w:ascii="宋体" w:hAnsi="宋体" w:eastAsia="宋体"/>
          <w:color w:val="auto"/>
          <w:sz w:val="24"/>
          <w:szCs w:val="24"/>
          <w:highlight w:val="none"/>
          <w:lang w:val="en-US" w:eastAsia="zh-CN"/>
        </w:rPr>
        <w:t>蓝小姐13928186982</w:t>
      </w:r>
    </w:p>
    <w:p>
      <w:pPr>
        <w:widowControl w:val="0"/>
        <w:spacing w:line="560" w:lineRule="exact"/>
        <w:ind w:firstLine="480" w:firstLineChars="200"/>
        <w:jc w:val="left"/>
        <w:rPr>
          <w:rFonts w:hint="eastAsia" w:ascii="宋体" w:hAnsi="宋体" w:cs="宋体"/>
          <w:b w:val="0"/>
          <w:bCs/>
          <w:color w:val="auto"/>
          <w:sz w:val="44"/>
          <w:szCs w:val="32"/>
          <w:highlight w:val="none"/>
          <w:lang w:val="en-US" w:eastAsia="zh-CN"/>
        </w:rPr>
      </w:pPr>
      <w:r>
        <w:rPr>
          <w:rFonts w:hint="eastAsia" w:ascii="宋体" w:hAnsi="宋体" w:eastAsia="宋体" w:cs="宋体"/>
          <w:color w:val="auto"/>
          <w:sz w:val="24"/>
          <w:szCs w:val="24"/>
          <w:highlight w:val="none"/>
          <w:lang w:val="en-US" w:eastAsia="zh-CN"/>
        </w:rPr>
        <w:t>（二）采购人</w:t>
      </w: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中山市南区城南三路38号</w:t>
      </w:r>
    </w:p>
    <w:p>
      <w:pPr>
        <w:widowControl w:val="0"/>
        <w:spacing w:line="560" w:lineRule="exact"/>
        <w:jc w:val="left"/>
        <w:rPr>
          <w:rFonts w:hint="eastAsia" w:ascii="宋体" w:hAnsi="宋体" w:eastAsia="宋体" w:cs="宋体"/>
          <w:b w:val="0"/>
          <w:bCs w:val="0"/>
          <w:color w:val="auto"/>
          <w:sz w:val="24"/>
          <w:szCs w:val="24"/>
          <w:highlight w:val="none"/>
          <w:lang w:val="en-US" w:eastAsia="zh-CN"/>
        </w:rPr>
      </w:pPr>
    </w:p>
    <w:p>
      <w:pPr>
        <w:widowControl w:val="0"/>
        <w:spacing w:line="560" w:lineRule="exact"/>
        <w:jc w:val="left"/>
        <w:rPr>
          <w:rFonts w:hint="eastAsia" w:ascii="宋体" w:hAnsi="宋体" w:eastAsia="宋体" w:cs="宋体"/>
          <w:b w:val="0"/>
          <w:bCs w:val="0"/>
          <w:color w:val="auto"/>
          <w:sz w:val="24"/>
          <w:szCs w:val="24"/>
          <w:highlight w:val="none"/>
          <w:lang w:val="en-US" w:eastAsia="zh-CN"/>
        </w:rPr>
      </w:pPr>
    </w:p>
    <w:p>
      <w:pPr>
        <w:adjustRightInd w:val="0"/>
        <w:snapToGrid w:val="0"/>
        <w:spacing w:before="24" w:beforeLines="10" w:after="24" w:afterLines="10" w:line="360" w:lineRule="auto"/>
        <w:jc w:val="right"/>
        <w:rPr>
          <w:rFonts w:hint="default" w:ascii="宋体" w:hAnsi="宋体"/>
          <w:bCs/>
          <w:color w:val="auto"/>
          <w:sz w:val="24"/>
          <w:szCs w:val="24"/>
          <w:highlight w:val="none"/>
          <w:lang w:val="en-US"/>
        </w:rPr>
      </w:pPr>
      <w:r>
        <w:rPr>
          <w:rFonts w:hint="eastAsia" w:ascii="宋体" w:hAnsi="宋体"/>
          <w:color w:val="auto"/>
          <w:kern w:val="0"/>
          <w:sz w:val="24"/>
          <w:szCs w:val="24"/>
          <w:highlight w:val="none"/>
          <w:lang w:val="en-US" w:eastAsia="zh-CN"/>
        </w:rPr>
        <w:t>中山市公共交通运输集团有限公司</w:t>
      </w:r>
    </w:p>
    <w:p>
      <w:pPr>
        <w:widowControl/>
        <w:tabs>
          <w:tab w:val="left" w:pos="142"/>
          <w:tab w:val="left" w:pos="426"/>
        </w:tabs>
        <w:adjustRightInd w:val="0"/>
        <w:spacing w:line="360" w:lineRule="auto"/>
        <w:ind w:left="0" w:leftChars="0" w:firstLine="6720" w:firstLineChars="2800"/>
        <w:jc w:val="left"/>
        <w:rPr>
          <w:rFonts w:hint="default" w:ascii="宋体" w:hAnsi="宋体"/>
          <w:bCs/>
          <w:color w:val="auto"/>
          <w:kern w:val="0"/>
          <w:sz w:val="24"/>
          <w:highlight w:val="none"/>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olor w:val="auto"/>
          <w:sz w:val="24"/>
          <w:szCs w:val="24"/>
          <w:highlight w:val="none"/>
          <w:lang w:val="en-US" w:eastAsia="zh-CN"/>
        </w:rPr>
        <w:t>2023</w:t>
      </w:r>
      <w:r>
        <w:rPr>
          <w:rFonts w:hint="eastAsia" w:ascii="宋体" w:hAnsi="宋体"/>
          <w:color w:val="auto"/>
          <w:sz w:val="24"/>
          <w:szCs w:val="24"/>
          <w:highlight w:val="none"/>
        </w:rPr>
        <w:t>年</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11日</w:t>
      </w:r>
    </w:p>
    <w:p>
      <w:pPr>
        <w:rPr>
          <w:rFonts w:hint="eastAsia"/>
          <w:color w:val="auto"/>
          <w:highlight w:val="none"/>
          <w:lang w:val="en-US" w:eastAsia="zh-CN"/>
        </w:rPr>
      </w:pPr>
    </w:p>
    <w:p>
      <w:pPr>
        <w:pStyle w:val="2"/>
        <w:numPr>
          <w:ilvl w:val="1"/>
          <w:numId w:val="0"/>
        </w:numPr>
        <w:tabs>
          <w:tab w:val="left" w:pos="851"/>
        </w:tabs>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第二部分  </w:t>
      </w:r>
      <w:r>
        <w:rPr>
          <w:rFonts w:hint="eastAsia" w:ascii="宋体" w:hAnsi="宋体" w:eastAsia="宋体" w:cs="宋体"/>
          <w:color w:val="auto"/>
          <w:sz w:val="28"/>
          <w:szCs w:val="28"/>
          <w:highlight w:val="none"/>
          <w:lang w:eastAsia="zh-CN"/>
        </w:rPr>
        <w:t>用户需求书</w:t>
      </w:r>
    </w:p>
    <w:bookmarkEnd w:id="3"/>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3" w:firstLineChars="214"/>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一、研究背景：</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3" w:firstLineChars="214"/>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山公交自2016年起通过施行两轮成本规制政策实现可持续发展，上一版财政补贴政策已到期。为更好修订完善公交财政补贴政策，深入实施公交优先发展战略，推动中山公交健康可持续发展，在“百千万工程”城乡公共服务一体化工作中承担更大责任，现中山公交集团计划开展珠三角城市公交财政补贴政策比较研究，切实掌握珠三角城市公交财政补贴方向、模式及补贴现状，提高中山实施成本规制政策的精准度和合理性，结合新时期中山公交担负的使命、面临的困境，围绕延续实施和修订完善财政补贴政策提出对策建议。并结合前两版成本规制政策实施成效，协助开展系列宣传策划咨询活动，展示中山公交形象，凝聚社会共识，贯彻落实市委常委同志主题教育读书班“不断提高群众对交通等基本公共服务的获得感和满意度”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二、成果内容及要求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调研珠三角各城市公交企业及财政补贴方向、模式及现状，比较分析各地补贴政策的优势、劣势，结合近期国内公交出现形势，研究提出中山修订完善成本规制政策的建议，攥写1份研究报告，相应形成1份资政报告，为中山公交发展提供决策支撑。（报告要求调研了解珠三角城市公交财政补贴政策并进行比较研究，切实掌握珠三角城市公交财政补贴方向、模式及补贴现状，对新时期中山修订成本规制政策有指导价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协助修改报送有关单位报告2篇。（要求修改后文稿内容符合政府有关规章要求、中山公交发展导向，且站位高远、视野开阔、立意深远、结构合理、措辞考究、文风新颖，体现宏观思考问题、指导实践、引领发展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（三）协助起草5份公交宣传策划活动方案。（要求宣传策划符合新时期宣传思想文化工作要求和公交发展趋势，策划理念新颖、创意亮点突出、可操作性强，能较好展示中山公交形象，凝聚社会共识）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（四）协助向中山+等市内主流媒体平台推送相关新闻报道2篇。（要求及时协助向新媒体平台推荐公交新闻报道）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三、付款方式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本项目不设预付款，自所有项目成果通过采购人验收之日起且采购人收到中选人提供增值税专用发票后15个工作日内，采购人以银行转账方式向中选人一次性支付该项目采购金额。</w:t>
      </w:r>
    </w:p>
    <w:p>
      <w:pPr>
        <w:pStyle w:val="31"/>
        <w:numPr>
          <w:ilvl w:val="0"/>
          <w:numId w:val="0"/>
        </w:numPr>
        <w:ind w:firstLine="513" w:firstLineChars="214"/>
        <w:rPr>
          <w:rFonts w:hint="eastAsia" w:ascii="宋体" w:hAnsi="宋体" w:eastAsia="宋体" w:cs="宋体"/>
          <w:b/>
          <w:bCs/>
          <w:color w:val="auto"/>
          <w:sz w:val="44"/>
          <w:szCs w:val="44"/>
          <w:highlight w:val="none"/>
        </w:rPr>
      </w:pPr>
      <w:r>
        <w:rPr>
          <w:rFonts w:hint="eastAsia" w:ascii="宋体" w:hAnsi="宋体" w:eastAsia="宋体" w:cs="宋体"/>
          <w:bCs/>
          <w:color w:val="auto"/>
          <w:kern w:val="2"/>
          <w:sz w:val="24"/>
          <w:szCs w:val="24"/>
          <w:highlight w:val="none"/>
          <w:lang w:val="en-US" w:eastAsia="zh-CN" w:bidi="ar-SA"/>
        </w:rPr>
        <w:br w:type="page"/>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 xml:space="preserve">部分 </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评审</w:t>
      </w:r>
      <w:r>
        <w:rPr>
          <w:rFonts w:hint="eastAsia" w:ascii="宋体" w:hAnsi="宋体" w:eastAsia="宋体" w:cs="宋体"/>
          <w:b/>
          <w:bCs/>
          <w:color w:val="auto"/>
          <w:sz w:val="44"/>
          <w:szCs w:val="44"/>
          <w:highlight w:val="none"/>
          <w:lang w:val="en-US" w:eastAsia="zh-CN"/>
        </w:rPr>
        <w:t>标准</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
          <w:bCs/>
          <w:color w:val="auto"/>
          <w:sz w:val="24"/>
          <w:highlight w:val="none"/>
        </w:rPr>
      </w:pPr>
    </w:p>
    <w:p>
      <w:pPr>
        <w:pStyle w:val="31"/>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一、采购人按规定</w:t>
      </w:r>
      <w:r>
        <w:rPr>
          <w:rFonts w:hint="eastAsia" w:ascii="宋体" w:hAnsi="宋体" w:eastAsia="宋体" w:cs="宋体"/>
          <w:color w:val="auto"/>
          <w:sz w:val="24"/>
          <w:szCs w:val="24"/>
          <w:highlight w:val="none"/>
          <w:lang w:val="en-US" w:eastAsia="zh-CN"/>
        </w:rPr>
        <w:t>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二、评审标准为：资格评审+综合评审，共2个环节，</w:t>
      </w:r>
      <w:r>
        <w:rPr>
          <w:rFonts w:hint="eastAsia" w:ascii="宋体" w:hAnsi="宋体" w:eastAsia="宋体" w:cs="宋体"/>
          <w:color w:val="auto"/>
          <w:sz w:val="24"/>
          <w:szCs w:val="24"/>
          <w:highlight w:val="none"/>
          <w:lang w:val="en-US" w:eastAsia="zh-CN"/>
        </w:rPr>
        <w:t>评标委员会先进行</w:t>
      </w:r>
      <w:r>
        <w:rPr>
          <w:rFonts w:hint="eastAsia" w:ascii="宋体" w:hAnsi="宋体" w:eastAsia="宋体" w:cs="宋体"/>
          <w:b w:val="0"/>
          <w:bCs w:val="0"/>
          <w:color w:val="auto"/>
          <w:sz w:val="24"/>
          <w:szCs w:val="24"/>
          <w:highlight w:val="none"/>
          <w:lang w:val="en-US" w:eastAsia="zh-CN"/>
        </w:rPr>
        <w:t>资格</w:t>
      </w:r>
      <w:r>
        <w:rPr>
          <w:rFonts w:hint="eastAsia" w:ascii="宋体" w:hAnsi="宋体" w:eastAsia="宋体" w:cs="宋体"/>
          <w:color w:val="auto"/>
          <w:sz w:val="24"/>
          <w:szCs w:val="24"/>
          <w:highlight w:val="none"/>
          <w:lang w:val="en-US" w:eastAsia="zh-CN"/>
        </w:rPr>
        <w:t>评审，再进行</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评审。只有评审结论为“通过”的参评供应商才能进入</w:t>
      </w:r>
      <w:r>
        <w:rPr>
          <w:rFonts w:hint="eastAsia" w:ascii="宋体" w:hAnsi="宋体" w:eastAsia="宋体" w:cs="宋体"/>
          <w:b w:val="0"/>
          <w:bCs w:val="0"/>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评审。</w:t>
      </w:r>
    </w:p>
    <w:p>
      <w:pPr>
        <w:pStyle w:val="31"/>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三、资格评审环节由评标委员会全体成员共同评定，对照《资格评审表》和供应商提交的参评文件，采取“一票否决”。</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4"/>
          <w:szCs w:val="24"/>
          <w:highlight w:val="none"/>
          <w:lang w:val="en-US" w:eastAsia="zh-CN"/>
        </w:rPr>
        <w:t>四、综合评审：</w:t>
      </w:r>
      <w:r>
        <w:rPr>
          <w:rFonts w:hint="eastAsia" w:ascii="宋体" w:hAnsi="宋体" w:eastAsia="宋体" w:cs="宋体"/>
          <w:color w:val="auto"/>
          <w:sz w:val="21"/>
          <w:szCs w:val="21"/>
        </w:rPr>
        <w:t>技术商务评审+价格评审，评分满分为100分，评分分配如下</w:t>
      </w:r>
      <w:r>
        <w:rPr>
          <w:rFonts w:hint="eastAsia" w:ascii="宋体" w:hAnsi="宋体" w:eastAsia="宋体" w:cs="宋体"/>
          <w:color w:val="auto"/>
          <w:sz w:val="21"/>
          <w:szCs w:val="21"/>
          <w:lang w:eastAsia="zh-CN"/>
        </w:rPr>
        <w:t>：</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技术商务评分</w:t>
            </w:r>
          </w:p>
        </w:tc>
        <w:tc>
          <w:tcPr>
            <w:tcW w:w="2536" w:type="dxa"/>
            <w:tcBorders>
              <w:tl2br w:val="nil"/>
              <w:tr2bl w:val="nil"/>
            </w:tcBorders>
            <w:shd w:val="clear" w:color="auto" w:fill="D9D9D9"/>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60</w:t>
            </w:r>
            <w:r>
              <w:rPr>
                <w:rFonts w:hint="eastAsia" w:ascii="宋体" w:hAnsi="宋体" w:eastAsia="宋体" w:cs="宋体"/>
                <w:b/>
                <w:bCs/>
                <w:color w:val="auto"/>
                <w:sz w:val="21"/>
                <w:szCs w:val="21"/>
              </w:rPr>
              <w:t>分</w:t>
            </w:r>
          </w:p>
        </w:tc>
        <w:tc>
          <w:tcPr>
            <w:tcW w:w="2536" w:type="dxa"/>
            <w:tcBorders>
              <w:tl2br w:val="nil"/>
              <w:tr2bl w:val="nil"/>
            </w:tcBorders>
            <w:noWrap w:val="0"/>
            <w:vAlign w:val="center"/>
          </w:tcPr>
          <w:p>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40</w:t>
            </w:r>
            <w:r>
              <w:rPr>
                <w:rFonts w:hint="eastAsia" w:ascii="宋体" w:hAnsi="宋体" w:eastAsia="宋体" w:cs="宋体"/>
                <w:b/>
                <w:bCs/>
                <w:color w:val="auto"/>
                <w:sz w:val="21"/>
                <w:szCs w:val="21"/>
              </w:rPr>
              <w:t>分</w:t>
            </w:r>
          </w:p>
        </w:tc>
      </w:tr>
    </w:tbl>
    <w:p>
      <w:pPr>
        <w:pageBreakBefore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bCs w:val="0"/>
          <w:color w:val="auto"/>
          <w:sz w:val="24"/>
          <w:szCs w:val="24"/>
          <w:highlight w:val="none"/>
          <w:lang w:val="en-US" w:eastAsia="zh-CN"/>
        </w:rPr>
        <w:t>综合评审</w:t>
      </w:r>
      <w:r>
        <w:rPr>
          <w:rFonts w:hint="eastAsia" w:ascii="宋体" w:hAnsi="宋体" w:eastAsia="宋体" w:cs="宋体"/>
          <w:bCs w:val="0"/>
          <w:color w:val="auto"/>
          <w:sz w:val="24"/>
          <w:szCs w:val="24"/>
          <w:highlight w:val="none"/>
        </w:rPr>
        <w:t>方法</w:t>
      </w:r>
    </w:p>
    <w:p>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一</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技术商务评分：</w:t>
      </w:r>
      <w:r>
        <w:rPr>
          <w:rFonts w:hint="eastAsia" w:ascii="宋体" w:hAnsi="宋体" w:eastAsia="宋体" w:cs="宋体"/>
          <w:color w:val="auto"/>
          <w:sz w:val="24"/>
          <w:szCs w:val="24"/>
          <w:highlight w:val="none"/>
        </w:rPr>
        <w:t>由各个评委按照《技术商务评分表》项目独立进行评分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sz w:val="24"/>
          <w:szCs w:val="24"/>
          <w:highlight w:val="none"/>
          <w:u w:val="none"/>
        </w:rPr>
        <w:t>取平均分为该项最终得分。</w:t>
      </w:r>
    </w:p>
    <w:p>
      <w:pPr>
        <w:pageBreakBefore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二</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价格评分：</w:t>
      </w:r>
      <w:r>
        <w:rPr>
          <w:rFonts w:hint="eastAsia" w:ascii="宋体" w:hAnsi="宋体" w:eastAsia="宋体" w:cs="宋体"/>
          <w:color w:val="auto"/>
          <w:sz w:val="24"/>
          <w:szCs w:val="24"/>
          <w:highlight w:val="none"/>
        </w:rPr>
        <w:t>对通过符合性审查的参评单位各个标的进行价格评分，将评审委员会校核后的各个标的价格定义为评标价格。取各评标价格的算术平均值为基准价格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当参评单位的评标价格等于基准价格时为满分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高于基准价格的评标价格则按其比例，每高于基准价格的1％减0.2分，低于基准价格的评标价格也按其比例，每低于基准价格的1％减0.1分，如此类推，扣至0分止。算出所有参评单位的价格评分。分数精确到小数点后2位</w:t>
      </w:r>
      <w:r>
        <w:rPr>
          <w:rFonts w:hint="eastAsia" w:ascii="宋体" w:hAnsi="宋体" w:eastAsia="宋体" w:cs="宋体"/>
          <w:color w:val="auto"/>
          <w:sz w:val="24"/>
          <w:szCs w:val="24"/>
          <w:highlight w:val="none"/>
          <w:lang w:eastAsia="zh-CN"/>
        </w:rPr>
        <w:t>。</w:t>
      </w:r>
    </w:p>
    <w:p>
      <w:pPr>
        <w:adjustRightInd w:val="0"/>
        <w:snapToGrid w:val="0"/>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根据技术商务及价格的综合评分，计算各参评单位的总得分。按得分从高到低排名（得分相同时，报价低者优先）。</w:t>
      </w:r>
    </w:p>
    <w:p>
      <w:pPr>
        <w:pStyle w:val="31"/>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六、评审结果</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根据综合评审得分</w:t>
      </w:r>
      <w:r>
        <w:rPr>
          <w:rFonts w:hint="eastAsia" w:ascii="宋体" w:hAnsi="宋体" w:eastAsia="宋体" w:cs="宋体"/>
          <w:b w:val="0"/>
          <w:bCs w:val="0"/>
          <w:color w:val="auto"/>
          <w:sz w:val="24"/>
          <w:highlight w:val="none"/>
          <w:lang w:val="en-US" w:eastAsia="zh-CN"/>
        </w:rPr>
        <w:t>，得分最高的参评供应商为</w:t>
      </w:r>
      <w:r>
        <w:rPr>
          <w:rFonts w:hint="default" w:ascii="宋体" w:hAnsi="宋体" w:eastAsia="宋体" w:cs="宋体"/>
          <w:b w:val="0"/>
          <w:bCs w:val="0"/>
          <w:color w:val="auto"/>
          <w:sz w:val="24"/>
          <w:highlight w:val="none"/>
          <w:lang w:val="en-US" w:eastAsia="zh-CN"/>
        </w:rPr>
        <w:t>第一</w:t>
      </w:r>
      <w:r>
        <w:rPr>
          <w:rFonts w:hint="eastAsia" w:ascii="宋体" w:hAnsi="宋体" w:eastAsia="宋体" w:cs="宋体"/>
          <w:b w:val="0"/>
          <w:bCs w:val="0"/>
          <w:color w:val="auto"/>
          <w:sz w:val="24"/>
          <w:highlight w:val="none"/>
          <w:lang w:val="en-US" w:eastAsia="zh-CN"/>
        </w:rPr>
        <w:t>中选候选人，经结果公示程序后，由采购人向第一中选候选人发出</w:t>
      </w:r>
      <w:r>
        <w:rPr>
          <w:rFonts w:hint="eastAsia" w:ascii="宋体" w:hAnsi="宋体" w:eastAsia="宋体" w:cs="宋体"/>
          <w:b w:val="0"/>
          <w:bCs/>
          <w:snapToGrid w:val="0"/>
          <w:color w:val="auto"/>
          <w:kern w:val="0"/>
          <w:sz w:val="24"/>
          <w:highlight w:val="none"/>
        </w:rPr>
        <w:t>《</w:t>
      </w:r>
      <w:r>
        <w:rPr>
          <w:rFonts w:hint="eastAsia" w:ascii="宋体" w:hAnsi="宋体" w:eastAsia="宋体" w:cs="宋体"/>
          <w:b w:val="0"/>
          <w:bCs/>
          <w:snapToGrid w:val="0"/>
          <w:color w:val="auto"/>
          <w:kern w:val="0"/>
          <w:sz w:val="24"/>
          <w:highlight w:val="none"/>
          <w:lang w:val="en-US" w:eastAsia="zh-CN"/>
        </w:rPr>
        <w:t>评选结果</w:t>
      </w:r>
      <w:r>
        <w:rPr>
          <w:rFonts w:hint="eastAsia" w:ascii="宋体" w:hAnsi="宋体" w:eastAsia="宋体" w:cs="宋体"/>
          <w:b w:val="0"/>
          <w:bCs/>
          <w:snapToGrid w:val="0"/>
          <w:color w:val="auto"/>
          <w:kern w:val="0"/>
          <w:sz w:val="24"/>
          <w:highlight w:val="none"/>
        </w:rPr>
        <w:t>通知书》</w:t>
      </w:r>
      <w:r>
        <w:rPr>
          <w:rFonts w:hint="eastAsia" w:ascii="宋体" w:hAnsi="宋体" w:eastAsia="宋体" w:cs="宋体"/>
          <w:b w:val="0"/>
          <w:bCs/>
          <w:snapToGrid w:val="0"/>
          <w:color w:val="auto"/>
          <w:kern w:val="0"/>
          <w:sz w:val="24"/>
          <w:highlight w:val="none"/>
          <w:lang w:eastAsia="zh-CN"/>
        </w:rPr>
        <w:t>，</w:t>
      </w:r>
      <w:r>
        <w:rPr>
          <w:rFonts w:hint="eastAsia" w:ascii="宋体" w:hAnsi="宋体" w:eastAsia="宋体" w:cs="宋体"/>
          <w:b w:val="0"/>
          <w:bCs/>
          <w:snapToGrid w:val="0"/>
          <w:color w:val="auto"/>
          <w:kern w:val="0"/>
          <w:sz w:val="24"/>
          <w:highlight w:val="none"/>
          <w:lang w:val="en-US" w:eastAsia="zh-CN"/>
        </w:rPr>
        <w:t>并</w:t>
      </w:r>
      <w:r>
        <w:rPr>
          <w:rFonts w:hint="eastAsia" w:ascii="宋体" w:hAnsi="宋体" w:eastAsia="宋体" w:cs="宋体"/>
          <w:b w:val="0"/>
          <w:bCs w:val="0"/>
          <w:color w:val="auto"/>
          <w:sz w:val="24"/>
          <w:highlight w:val="none"/>
          <w:lang w:val="en-US" w:eastAsia="zh-CN"/>
        </w:rPr>
        <w:t>确认意向。如第一中选候选人因故不能履约的，采购人可以确定第二中选候选人为中选供应商，以此类推。</w:t>
      </w:r>
    </w:p>
    <w:p>
      <w:p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r>
        <w:rPr>
          <w:rFonts w:hint="eastAsia" w:ascii="宋体" w:hAnsi="宋体" w:eastAsia="宋体" w:cs="宋体"/>
          <w:b w:val="0"/>
          <w:bCs w:val="0"/>
          <w:color w:val="auto"/>
          <w:sz w:val="24"/>
          <w:szCs w:val="24"/>
          <w:highlight w:val="none"/>
          <w:lang w:val="en-US" w:eastAsia="zh-CN"/>
        </w:rPr>
        <w:t>七、资格评审表</w:t>
      </w:r>
    </w:p>
    <w:p>
      <w:pPr>
        <w:pStyle w:val="44"/>
        <w:spacing w:line="240" w:lineRule="auto"/>
        <w:rPr>
          <w:rFonts w:hint="eastAsia"/>
          <w:lang w:val="en-US" w:eastAsia="zh-CN"/>
        </w:rPr>
      </w:pPr>
    </w:p>
    <w:p>
      <w:pPr>
        <w:adjustRightInd w:val="0"/>
        <w:snapToGrid w:val="0"/>
        <w:spacing w:line="5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资格</w:t>
      </w:r>
      <w:r>
        <w:rPr>
          <w:rFonts w:hint="eastAsia" w:ascii="宋体" w:hAnsi="宋体" w:eastAsia="宋体" w:cs="宋体"/>
          <w:b/>
          <w:bCs/>
          <w:color w:val="auto"/>
          <w:sz w:val="44"/>
          <w:szCs w:val="44"/>
          <w:highlight w:val="none"/>
        </w:rPr>
        <w:t>评审表</w:t>
      </w:r>
    </w:p>
    <w:p>
      <w:pPr>
        <w:adjustRightInd w:val="0"/>
        <w:snapToGrid w:val="0"/>
        <w:spacing w:line="240" w:lineRule="auto"/>
        <w:jc w:val="center"/>
        <w:rPr>
          <w:rFonts w:hint="eastAsia" w:ascii="宋体" w:hAnsi="宋体" w:eastAsia="宋体" w:cs="宋体"/>
          <w:b/>
          <w:bCs/>
          <w:color w:val="auto"/>
          <w:sz w:val="44"/>
          <w:szCs w:val="44"/>
          <w:highlight w:val="none"/>
          <w:lang w:val="en-US" w:eastAsia="zh-CN"/>
        </w:rPr>
      </w:pPr>
    </w:p>
    <w:tbl>
      <w:tblPr>
        <w:tblStyle w:val="3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noWrap w:val="0"/>
            <w:vAlign w:val="center"/>
          </w:tcPr>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5758"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评审内容</w:t>
            </w:r>
          </w:p>
        </w:tc>
        <w:tc>
          <w:tcPr>
            <w:tcW w:w="1022"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104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102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102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具有独立承担民事责任能力的在中华人民共和国境内注册的企业法人或其他社会组织，提供营业执照等。</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供应商</w:t>
            </w:r>
            <w:r>
              <w:rPr>
                <w:rFonts w:hint="eastAsia" w:ascii="Times New Roman" w:hAnsi="Times New Roman" w:eastAsia="宋体" w:cs="Times New Roman"/>
                <w:sz w:val="21"/>
                <w:szCs w:val="24"/>
                <w:highlight w:val="none"/>
                <w:lang w:val="en-US"/>
              </w:rPr>
              <w:t>具有城市经济社会发展研究或管理咨询服务、信息咨询服务等相关资质</w:t>
            </w:r>
            <w:r>
              <w:rPr>
                <w:rFonts w:hint="eastAsia" w:ascii="Times New Roman" w:hAnsi="Times New Roman" w:eastAsia="宋体" w:cs="Times New Roman"/>
                <w:sz w:val="21"/>
                <w:szCs w:val="24"/>
                <w:highlight w:val="none"/>
                <w:lang w:val="en-US" w:eastAsia="zh-CN"/>
              </w:rPr>
              <w:t>，提供营业执照等</w:t>
            </w:r>
            <w:r>
              <w:rPr>
                <w:rFonts w:hint="eastAsia" w:ascii="Times New Roman" w:hAnsi="Times New Roman" w:eastAsia="宋体" w:cs="Times New Roman"/>
                <w:sz w:val="21"/>
                <w:szCs w:val="24"/>
                <w:highlight w:val="none"/>
                <w:lang w:val="en-US"/>
              </w:rPr>
              <w:t>。</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rPr>
              <w:t>供应商承诺不得以任何方式转包或分包本项目。</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参评供应商满足本项目的主要需求，填写《需求响应表》并全部完全响应，无负偏离。</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非联合体潜在供应商参评报价。</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5758" w:type="dxa"/>
            <w:noWrap w:val="0"/>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sz w:val="21"/>
                <w:szCs w:val="24"/>
                <w:highlight w:val="none"/>
                <w:lang w:val="en-US" w:eastAsia="zh-CN"/>
              </w:rPr>
              <w:t>报价为唯一固定价且未超过报价限价。</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5758" w:type="dxa"/>
            <w:noWrap w:val="0"/>
            <w:vAlign w:val="center"/>
          </w:tcPr>
          <w:p>
            <w:pPr>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符合采购文件要求的其他条件（如盖章签署等）。</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评审结论</w:t>
            </w:r>
          </w:p>
        </w:tc>
        <w:tc>
          <w:tcPr>
            <w:tcW w:w="5758"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pPr>
              <w:snapToGrid w:val="0"/>
              <w:spacing w:line="240" w:lineRule="auto"/>
              <mc:AlternateContent>
                <mc:Choice Requires="wpsCustomData">
                  <wpsCustomData:diagonalParaType/>
                </mc:Choice>
              </mc:AlternateContent>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不通过原因</w:t>
            </w:r>
          </w:p>
        </w:tc>
        <w:tc>
          <w:tcPr>
            <w:tcW w:w="1022"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46" w:type="dxa"/>
            <w:noWrap w:val="0"/>
            <w:vAlign w:val="center"/>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c>
          <w:tcPr>
            <w:tcW w:w="1021" w:type="dxa"/>
            <w:noWrap w:val="0"/>
            <w:vAlign w:val="top"/>
          </w:tcPr>
          <w:p>
            <w:pPr>
              <w:rPr>
                <w:rFonts w:hint="eastAsia" w:ascii="宋体" w:hAnsi="宋体" w:eastAsia="宋体" w:cs="宋体"/>
                <w:b w:val="0"/>
                <w:bCs w:val="0"/>
                <w:color w:val="auto"/>
                <w:sz w:val="24"/>
                <w:szCs w:val="24"/>
                <w:highlight w:val="none"/>
                <w:lang w:val="en-US" w:eastAsia="zh-CN"/>
              </w:rPr>
            </w:pPr>
          </w:p>
        </w:tc>
      </w:tr>
    </w:tbl>
    <w:p>
      <w:pPr>
        <w:adjustRightInd w:val="0"/>
        <w:snapToGrid w:val="0"/>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备注：</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1．评标委员会对参评供应商是否满足要求逐条标注评审意见，符合的打“〇”，不符合的打“×”；</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2．全部打“〇”的，评审结论栏填写“通过”；出现一项“×”，评审结论填写“不通过”，对评审结论为“不通过”的要说明原因。</w:t>
      </w:r>
    </w:p>
    <w:p>
      <w:pPr>
        <w:adjustRightInd w:val="0"/>
        <w:snapToGrid w:val="0"/>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3．评审结论为“通过”的，方可参与下一阶段的评审。</w:t>
      </w:r>
    </w:p>
    <w:p>
      <w:pPr>
        <w:spacing w:line="560" w:lineRule="exact"/>
        <w:rPr>
          <w:rFonts w:hint="eastAsia" w:ascii="宋体" w:hAnsi="宋体" w:eastAsia="宋体" w:cs="宋体"/>
          <w:b w:val="0"/>
          <w:bCs w:val="0"/>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全体成员签名：                         </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docGrid w:linePitch="312" w:charSpace="0"/>
        </w:sectPr>
      </w:pPr>
    </w:p>
    <w:p>
      <w:pPr>
        <w:numPr>
          <w:ilvl w:val="0"/>
          <w:numId w:val="0"/>
        </w:numPr>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八、</w:t>
      </w:r>
      <w:r>
        <w:rPr>
          <w:rFonts w:hint="eastAsia" w:ascii="宋体" w:hAnsi="宋体" w:eastAsia="宋体" w:cs="宋体"/>
          <w:b w:val="0"/>
          <w:bCs w:val="0"/>
          <w:color w:val="auto"/>
          <w:sz w:val="24"/>
          <w:szCs w:val="24"/>
          <w:highlight w:val="none"/>
          <w:lang w:val="en-US" w:eastAsia="zh-CN"/>
        </w:rPr>
        <w:t>技术商务评分表</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b/>
          <w:color w:val="auto"/>
          <w:sz w:val="32"/>
          <w:szCs w:val="32"/>
        </w:rPr>
      </w:pPr>
      <w:r>
        <w:rPr>
          <w:rFonts w:hint="eastAsia" w:ascii="宋体" w:hAnsi="宋体" w:eastAsia="宋体" w:cs="宋体"/>
          <w:b/>
          <w:bCs/>
          <w:color w:val="auto"/>
          <w:sz w:val="44"/>
          <w:szCs w:val="44"/>
          <w:highlight w:val="none"/>
        </w:rPr>
        <w:t>技术商务评分表</w:t>
      </w:r>
    </w:p>
    <w:p>
      <w:pPr>
        <w:jc w:val="center"/>
        <w:rPr>
          <w:rFonts w:hint="eastAsia" w:ascii="宋体" w:hAnsi="宋体" w:eastAsia="宋体"/>
          <w:b/>
          <w:color w:val="auto"/>
          <w:sz w:val="32"/>
          <w:szCs w:val="32"/>
        </w:rPr>
      </w:pP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 xml:space="preserve"> 项目名称：</w:t>
      </w:r>
      <w:r>
        <w:rPr>
          <w:rFonts w:hint="eastAsia" w:ascii="宋体" w:hAnsi="宋体" w:eastAsia="宋体" w:cs="宋体"/>
          <w:color w:val="auto"/>
          <w:sz w:val="21"/>
          <w:szCs w:val="21"/>
          <w:lang w:val="en-US" w:eastAsia="zh-CN"/>
        </w:rPr>
        <w:t>公交财政补贴政策研究咨询报告等服务采购项目</w:t>
      </w:r>
    </w:p>
    <w:tbl>
      <w:tblPr>
        <w:tblStyle w:val="33"/>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8"/>
        <w:gridCol w:w="722"/>
        <w:gridCol w:w="3948"/>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851" w:type="dxa"/>
            <w:vMerge w:val="restart"/>
            <w:tcBorders>
              <w:top w:val="double" w:color="auto" w:sz="2" w:space="0"/>
              <w:left w:val="double" w:color="auto" w:sz="2"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评审项目</w:t>
            </w:r>
          </w:p>
        </w:tc>
        <w:tc>
          <w:tcPr>
            <w:tcW w:w="722"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分配分数</w:t>
            </w:r>
          </w:p>
        </w:tc>
        <w:tc>
          <w:tcPr>
            <w:tcW w:w="3948" w:type="dxa"/>
            <w:vMerge w:val="restart"/>
            <w:tcBorders>
              <w:top w:val="double" w:color="auto" w:sz="2" w:space="0"/>
              <w:left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4008" w:type="dxa"/>
            <w:gridSpan w:val="4"/>
            <w:tcBorders>
              <w:top w:val="double" w:color="auto" w:sz="2" w:space="0"/>
              <w:left w:val="single" w:color="auto" w:sz="6" w:space="0"/>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851" w:type="dxa"/>
            <w:vMerge w:val="continue"/>
            <w:tcBorders>
              <w:left w:val="double" w:color="auto" w:sz="2"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1418"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722"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3948" w:type="dxa"/>
            <w:vMerge w:val="continue"/>
            <w:tcBorders>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供应商A</w:t>
            </w: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供应商B</w:t>
            </w: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供应商C</w:t>
            </w: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考察研究能力</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jc w:val="lef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根据参评供应商的</w:t>
            </w:r>
            <w:r>
              <w:rPr>
                <w:rFonts w:hint="eastAsia" w:ascii="宋体" w:hAnsi="宋体" w:cs="宋体"/>
                <w:color w:val="auto"/>
                <w:sz w:val="21"/>
                <w:szCs w:val="21"/>
                <w:lang w:val="en-US" w:eastAsia="zh-CN"/>
              </w:rPr>
              <w:t>提供的</w:t>
            </w:r>
            <w:r>
              <w:rPr>
                <w:rFonts w:hint="eastAsia" w:ascii="宋体" w:hAnsi="宋体" w:eastAsia="宋体" w:cs="宋体"/>
                <w:color w:val="auto"/>
                <w:sz w:val="21"/>
                <w:szCs w:val="21"/>
                <w:lang w:val="en-US" w:eastAsia="zh-CN"/>
              </w:rPr>
              <w:t>具体考察研究能力</w:t>
            </w:r>
            <w:r>
              <w:rPr>
                <w:rFonts w:hint="eastAsia" w:ascii="宋体" w:hAnsi="宋体" w:cs="宋体"/>
                <w:color w:val="auto"/>
                <w:sz w:val="21"/>
                <w:szCs w:val="21"/>
                <w:lang w:val="en-US" w:eastAsia="zh-CN"/>
              </w:rPr>
              <w:t>资料：</w:t>
            </w:r>
          </w:p>
          <w:p>
            <w:pPr>
              <w:snapToGrid/>
              <w:jc w:val="left"/>
              <w:rPr>
                <w:rFonts w:ascii="宋体" w:hAnsi="宋体" w:cs="宋体"/>
                <w:szCs w:val="21"/>
              </w:rPr>
            </w:pPr>
            <w:r>
              <w:rPr>
                <w:rFonts w:hint="eastAsia" w:ascii="宋体" w:hAnsi="宋体" w:cs="宋体"/>
                <w:color w:val="auto"/>
                <w:sz w:val="21"/>
                <w:szCs w:val="21"/>
                <w:lang w:val="en-US" w:eastAsia="zh-CN"/>
              </w:rPr>
              <w:t>1.</w:t>
            </w:r>
            <w:r>
              <w:rPr>
                <w:rFonts w:hint="eastAsia" w:ascii="宋体" w:hAnsi="宋体" w:cs="宋体"/>
                <w:szCs w:val="21"/>
              </w:rPr>
              <w:t>承接过市级经济社会发展研究课题报告的数量，每提供一项得</w:t>
            </w:r>
            <w:r>
              <w:rPr>
                <w:rFonts w:ascii="宋体" w:hAnsi="宋体" w:cs="宋体"/>
                <w:szCs w:val="21"/>
              </w:rPr>
              <w:t>2</w:t>
            </w:r>
            <w:r>
              <w:rPr>
                <w:rFonts w:hint="eastAsia" w:ascii="宋体" w:hAnsi="宋体" w:cs="宋体"/>
                <w:szCs w:val="21"/>
              </w:rPr>
              <w:t>分，</w:t>
            </w:r>
            <w:r>
              <w:rPr>
                <w:rFonts w:hint="eastAsia" w:ascii="宋体" w:hAnsi="宋体" w:cs="宋体"/>
                <w:szCs w:val="21"/>
                <w:lang w:val="en-US" w:eastAsia="zh-CN"/>
              </w:rPr>
              <w:t>最高得</w:t>
            </w:r>
            <w:r>
              <w:rPr>
                <w:rFonts w:ascii="宋体" w:hAnsi="宋体" w:cs="宋体"/>
                <w:szCs w:val="21"/>
              </w:rPr>
              <w:t>16</w:t>
            </w:r>
            <w:r>
              <w:rPr>
                <w:rFonts w:hint="eastAsia" w:ascii="宋体" w:hAnsi="宋体" w:cs="宋体"/>
                <w:szCs w:val="21"/>
              </w:rPr>
              <w:t>分。</w:t>
            </w:r>
          </w:p>
          <w:p>
            <w:pPr>
              <w:snapToGrid/>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研究人员具有硕生研究生及以上学历的，得2分/人；本科学历，得1分/人；其他的不得分，</w:t>
            </w:r>
            <w:r>
              <w:rPr>
                <w:rFonts w:hint="eastAsia" w:ascii="宋体" w:hAnsi="宋体" w:cs="宋体"/>
                <w:szCs w:val="21"/>
                <w:lang w:val="en-US" w:eastAsia="zh-CN"/>
              </w:rPr>
              <w:t>最高得</w:t>
            </w:r>
            <w:r>
              <w:rPr>
                <w:rFonts w:ascii="宋体" w:hAnsi="宋体" w:cs="宋体"/>
                <w:szCs w:val="21"/>
              </w:rPr>
              <w:t>6</w:t>
            </w:r>
            <w:r>
              <w:rPr>
                <w:rFonts w:hint="eastAsia" w:ascii="宋体" w:hAnsi="宋体" w:cs="宋体"/>
                <w:szCs w:val="21"/>
              </w:rPr>
              <w:t>分。</w:t>
            </w:r>
          </w:p>
          <w:p>
            <w:pPr>
              <w:snapToGrid/>
              <w:jc w:val="left"/>
              <w:rPr>
                <w:rFonts w:hint="default" w:ascii="宋体" w:hAnsi="宋体" w:eastAsia="宋体" w:cs="宋体"/>
                <w:color w:val="auto"/>
                <w:sz w:val="21"/>
                <w:szCs w:val="21"/>
                <w:lang w:val="en-US" w:eastAsia="zh-CN"/>
              </w:rPr>
            </w:pPr>
            <w:r>
              <w:rPr>
                <w:rFonts w:hint="eastAsia" w:ascii="宋体" w:hAnsi="宋体" w:cs="宋体"/>
                <w:szCs w:val="21"/>
                <w:lang w:val="en-US" w:eastAsia="zh-CN"/>
              </w:rPr>
              <w:t>3.</w:t>
            </w:r>
            <w:r>
              <w:rPr>
                <w:rFonts w:hint="eastAsia" w:ascii="宋体" w:hAnsi="宋体" w:cs="宋体"/>
                <w:szCs w:val="21"/>
              </w:rPr>
              <w:t>研究人员参与过市级经济社会发展课题研究的相关从业经验，每提供一项得1分，</w:t>
            </w:r>
            <w:r>
              <w:rPr>
                <w:rFonts w:hint="eastAsia" w:ascii="宋体" w:hAnsi="宋体" w:cs="宋体"/>
                <w:szCs w:val="21"/>
                <w:lang w:val="en-US" w:eastAsia="zh-CN"/>
              </w:rPr>
              <w:t>最高得</w:t>
            </w:r>
            <w:r>
              <w:rPr>
                <w:rFonts w:ascii="宋体" w:hAnsi="宋体" w:cs="宋体"/>
                <w:szCs w:val="21"/>
              </w:rPr>
              <w:t>8</w:t>
            </w:r>
            <w:r>
              <w:rPr>
                <w:rFonts w:hint="eastAsia" w:ascii="宋体" w:hAnsi="宋体" w:cs="宋体"/>
                <w:szCs w:val="21"/>
              </w:rPr>
              <w:t>分。</w:t>
            </w:r>
            <w:r>
              <w:rPr>
                <w:rFonts w:hint="eastAsia" w:ascii="宋体" w:hAnsi="宋体" w:eastAsia="宋体" w:cs="宋体"/>
                <w:color w:val="auto"/>
                <w:sz w:val="21"/>
                <w:szCs w:val="21"/>
                <w:lang w:val="en-US" w:eastAsia="zh-CN"/>
              </w:rPr>
              <w:t>。</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业绩经验</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参评供应商</w:t>
            </w:r>
            <w:r>
              <w:rPr>
                <w:rFonts w:hint="eastAsia" w:ascii="宋体" w:hAnsi="宋体" w:eastAsia="宋体" w:cs="宋体"/>
                <w:color w:val="auto"/>
                <w:sz w:val="21"/>
                <w:szCs w:val="21"/>
              </w:rPr>
              <w:t>的同类项目业绩（需提供</w:t>
            </w:r>
            <w:r>
              <w:rPr>
                <w:rFonts w:hint="eastAsia" w:ascii="宋体" w:hAnsi="宋体" w:eastAsia="宋体" w:cs="宋体"/>
                <w:color w:val="auto"/>
                <w:sz w:val="21"/>
                <w:szCs w:val="21"/>
                <w:lang w:val="en-US" w:eastAsia="zh-CN"/>
              </w:rPr>
              <w:t>2020年以来</w:t>
            </w:r>
            <w:r>
              <w:rPr>
                <w:rFonts w:hint="eastAsia" w:ascii="宋体" w:hAnsi="宋体" w:eastAsia="宋体" w:cs="宋体"/>
                <w:color w:val="auto"/>
                <w:sz w:val="21"/>
                <w:szCs w:val="21"/>
              </w:rPr>
              <w:t>相关或同类项目的合同证明文件）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每提供一项得2分。</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pStyle w:val="29"/>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报告框架</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val="0"/>
              <w:jc w:val="lef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针对本项目，</w:t>
            </w:r>
            <w:r>
              <w:rPr>
                <w:rFonts w:hint="eastAsia" w:ascii="宋体" w:hAnsi="宋体" w:cs="宋体"/>
                <w:color w:val="auto"/>
                <w:sz w:val="21"/>
                <w:szCs w:val="21"/>
                <w:lang w:val="en-US" w:eastAsia="zh-CN"/>
              </w:rPr>
              <w:t>查看提供的调研报告框架：</w:t>
            </w:r>
          </w:p>
          <w:p>
            <w:pPr>
              <w:snapToGrid w:val="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课题研究立意深远，紧扣新时期公交发展趋势，整体框架谋篇布局完整严谨且清晰明了，研究内容针对性、逻辑性、可操作性强，研究方法新颖且有深度。（8-10分）</w:t>
            </w:r>
          </w:p>
          <w:p>
            <w:pPr>
              <w:snapToGrid w:val="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课题研究紧扣新时期公交发展趋势，整体框架设计比较完整清晰，研究内容有一定的针对性、逻辑性、可操作性，研究方法比较新颖。（5-7分）</w:t>
            </w:r>
          </w:p>
          <w:p>
            <w:pPr>
              <w:snapToGrid w:val="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课题研究紧扣新时期公交发展趋势，整体框架谋篇布局比较完整，研究内容基本符合课题要求，具备基本的研究方法（1-4分）。</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1" w:type="dxa"/>
            <w:tcBorders>
              <w:top w:val="single" w:color="auto" w:sz="6" w:space="0"/>
              <w:left w:val="double" w:color="auto" w:sz="2" w:space="0"/>
              <w:bottom w:val="single" w:color="auto" w:sz="6" w:space="0"/>
              <w:right w:val="single" w:color="auto" w:sz="6" w:space="0"/>
            </w:tcBorders>
            <w:noWrap w:val="0"/>
            <w:vAlign w:val="center"/>
          </w:tcPr>
          <w:p>
            <w:pPr>
              <w:numPr>
                <w:ilvl w:val="0"/>
                <w:numId w:val="2"/>
              </w:numPr>
              <w:snapToGrid w:val="0"/>
              <w:jc w:val="center"/>
              <w:rPr>
                <w:rFonts w:hint="eastAsia" w:ascii="宋体" w:hAnsi="宋体" w:eastAsia="宋体" w:cs="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服务方案</w:t>
            </w:r>
          </w:p>
        </w:tc>
        <w:tc>
          <w:tcPr>
            <w:tcW w:w="72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w:t>
            </w:r>
          </w:p>
        </w:tc>
        <w:tc>
          <w:tcPr>
            <w:tcW w:w="3948" w:type="dxa"/>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针对本项目，制定完善的售后服务方案得8-10分，有方案但不够全面得5-7分，有方案但不符合实际得2-4分，无方案得0分。</w:t>
            </w:r>
          </w:p>
        </w:tc>
        <w:tc>
          <w:tcPr>
            <w:tcW w:w="98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single" w:color="auto" w:sz="6" w:space="0"/>
              <w:right w:val="single" w:color="auto" w:sz="4" w:space="0"/>
            </w:tcBorders>
            <w:noWrap w:val="0"/>
            <w:vAlign w:val="center"/>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single" w:color="auto" w:sz="6" w:space="0"/>
              <w:right w:val="double" w:color="auto" w:sz="2" w:space="0"/>
            </w:tcBorders>
            <w:noWrap w:val="0"/>
            <w:vAlign w:val="center"/>
          </w:tcPr>
          <w:p>
            <w:pPr>
              <w:snapToGrid w:val="0"/>
              <w:jc w:val="center"/>
              <w:rPr>
                <w:rFonts w:hint="eastAsia" w:ascii="宋体" w:hAnsi="宋体" w:eastAsia="宋体" w:cs="宋体"/>
                <w:color w:val="auto"/>
                <w:sz w:val="21"/>
                <w:szCs w:val="21"/>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269" w:type="dxa"/>
            <w:gridSpan w:val="2"/>
            <w:tcBorders>
              <w:top w:val="single" w:color="auto" w:sz="6" w:space="0"/>
              <w:left w:val="double" w:color="auto" w:sz="2"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22"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w:t>
            </w:r>
          </w:p>
        </w:tc>
        <w:tc>
          <w:tcPr>
            <w:tcW w:w="3948"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总计得分</w:t>
            </w:r>
          </w:p>
        </w:tc>
        <w:tc>
          <w:tcPr>
            <w:tcW w:w="983" w:type="dxa"/>
            <w:tcBorders>
              <w:top w:val="single" w:color="auto" w:sz="6" w:space="0"/>
              <w:left w:val="single" w:color="auto" w:sz="6" w:space="0"/>
              <w:bottom w:val="double" w:color="auto" w:sz="2" w:space="0"/>
              <w:right w:val="single" w:color="auto" w:sz="6" w:space="0"/>
            </w:tcBorders>
            <w:noWrap w:val="0"/>
            <w:vAlign w:val="center"/>
          </w:tcPr>
          <w:p>
            <w:pPr>
              <w:snapToGrid w:val="0"/>
              <w:jc w:val="center"/>
              <w:rPr>
                <w:rFonts w:hint="eastAsia" w:ascii="宋体" w:hAnsi="宋体" w:eastAsia="宋体" w:cs="宋体"/>
                <w:color w:val="auto"/>
                <w:sz w:val="21"/>
                <w:szCs w:val="21"/>
              </w:rPr>
            </w:pPr>
          </w:p>
        </w:tc>
        <w:tc>
          <w:tcPr>
            <w:tcW w:w="987" w:type="dxa"/>
            <w:tcBorders>
              <w:top w:val="single" w:color="auto" w:sz="6" w:space="0"/>
              <w:left w:val="single" w:color="auto" w:sz="6" w:space="0"/>
              <w:bottom w:val="double" w:color="auto" w:sz="2" w:space="0"/>
              <w:right w:val="single" w:color="auto" w:sz="6" w:space="0"/>
            </w:tcBorders>
            <w:noWrap w:val="0"/>
            <w:vAlign w:val="top"/>
          </w:tcPr>
          <w:p>
            <w:pPr>
              <w:snapToGrid w:val="0"/>
              <w:jc w:val="center"/>
              <w:rPr>
                <w:rFonts w:hint="eastAsia" w:ascii="宋体" w:hAnsi="宋体" w:eastAsia="宋体" w:cs="宋体"/>
                <w:color w:val="auto"/>
                <w:sz w:val="21"/>
                <w:szCs w:val="21"/>
              </w:rPr>
            </w:pPr>
          </w:p>
        </w:tc>
        <w:tc>
          <w:tcPr>
            <w:tcW w:w="1075" w:type="dxa"/>
            <w:tcBorders>
              <w:top w:val="single" w:color="auto" w:sz="6" w:space="0"/>
              <w:left w:val="single" w:color="auto" w:sz="6" w:space="0"/>
              <w:bottom w:val="double" w:color="auto" w:sz="2" w:space="0"/>
              <w:right w:val="single" w:color="auto" w:sz="4" w:space="0"/>
            </w:tcBorders>
            <w:noWrap w:val="0"/>
            <w:vAlign w:val="top"/>
          </w:tcPr>
          <w:p>
            <w:pPr>
              <w:snapToGrid w:val="0"/>
              <w:jc w:val="center"/>
              <w:rPr>
                <w:rFonts w:hint="eastAsia" w:ascii="宋体" w:hAnsi="宋体" w:eastAsia="宋体" w:cs="宋体"/>
                <w:color w:val="auto"/>
                <w:sz w:val="21"/>
                <w:szCs w:val="21"/>
              </w:rPr>
            </w:pPr>
          </w:p>
        </w:tc>
        <w:tc>
          <w:tcPr>
            <w:tcW w:w="963" w:type="dxa"/>
            <w:tcBorders>
              <w:top w:val="single" w:color="auto" w:sz="6" w:space="0"/>
              <w:left w:val="nil"/>
              <w:bottom w:val="double" w:color="auto" w:sz="2" w:space="0"/>
              <w:right w:val="double" w:color="auto" w:sz="2" w:space="0"/>
            </w:tcBorders>
            <w:noWrap w:val="0"/>
            <w:vAlign w:val="top"/>
          </w:tcPr>
          <w:p>
            <w:pPr>
              <w:snapToGrid w:val="0"/>
              <w:jc w:val="center"/>
              <w:rPr>
                <w:rFonts w:hint="eastAsia" w:ascii="宋体" w:hAnsi="宋体" w:eastAsia="宋体" w:cs="宋体"/>
                <w:color w:val="auto"/>
                <w:sz w:val="21"/>
                <w:szCs w:val="21"/>
              </w:rPr>
            </w:pPr>
          </w:p>
        </w:tc>
      </w:tr>
    </w:tbl>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评委签名：                   评审日期：</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sz w:val="24"/>
          <w:highlight w:val="none"/>
          <w:lang w:val="en-US" w:eastAsia="zh-CN"/>
        </w:rPr>
        <w:br w:type="page"/>
      </w:r>
      <w:r>
        <w:rPr>
          <w:rFonts w:hint="eastAsia" w:ascii="宋体" w:hAnsi="宋体" w:eastAsia="宋体" w:cs="宋体"/>
          <w:b/>
          <w:bCs/>
          <w:sz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九、技术商务评分汇总表</w:t>
      </w:r>
    </w:p>
    <w:p>
      <w:pPr>
        <w:pStyle w:val="44"/>
        <w:spacing w:line="240" w:lineRule="auto"/>
        <w:rPr>
          <w:rFonts w:hint="eastAsia"/>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技术商务评分汇总表</w:t>
      </w:r>
    </w:p>
    <w:p>
      <w:pPr>
        <w:rPr>
          <w:rFonts w:hint="eastAsia" w:ascii="宋体" w:hAnsi="宋体" w:eastAsia="宋体" w:cs="宋体"/>
          <w:b w:val="0"/>
          <w:bCs w:val="0"/>
          <w:color w:val="auto"/>
          <w:sz w:val="24"/>
          <w:szCs w:val="24"/>
          <w:highlight w:val="none"/>
          <w:lang w:val="en-US" w:eastAsia="zh-CN"/>
        </w:rPr>
      </w:pPr>
    </w:p>
    <w:tbl>
      <w:tblPr>
        <w:tblStyle w:val="33"/>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2489"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参评供应商名称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1282"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评委1评分</w:t>
            </w:r>
          </w:p>
        </w:tc>
        <w:tc>
          <w:tcPr>
            <w:tcW w:w="1227"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评委2评分</w:t>
            </w:r>
          </w:p>
        </w:tc>
        <w:tc>
          <w:tcPr>
            <w:tcW w:w="1268"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评委3评分</w:t>
            </w:r>
          </w:p>
        </w:tc>
        <w:tc>
          <w:tcPr>
            <w:tcW w:w="121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评委4评分</w:t>
            </w:r>
          </w:p>
        </w:tc>
        <w:tc>
          <w:tcPr>
            <w:tcW w:w="1198"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b w:val="0"/>
                <w:bCs w:val="0"/>
                <w:color w:val="auto"/>
                <w:sz w:val="24"/>
                <w:szCs w:val="24"/>
                <w:highlight w:val="none"/>
                <w:lang w:val="en-US" w:eastAsia="zh-CN"/>
              </w:rPr>
              <w:t>评委5评分</w:t>
            </w:r>
          </w:p>
        </w:tc>
        <w:tc>
          <w:tcPr>
            <w:tcW w:w="1118"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平均得分</w:t>
            </w:r>
          </w:p>
        </w:tc>
        <w:tc>
          <w:tcPr>
            <w:tcW w:w="941"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489"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2489"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282"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2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6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1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9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8"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9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ind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注：上述表格可手写或打印，但不能涂改。</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成员签名：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ind w:firstLine="0" w:firstLineChars="0"/>
        <w:rPr>
          <w:rFonts w:hint="eastAsia"/>
          <w:color w:val="auto"/>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br w:type="page"/>
      </w:r>
      <w:r>
        <w:rPr>
          <w:rFonts w:hint="eastAsia" w:ascii="宋体" w:hAnsi="宋体" w:eastAsia="宋体" w:cs="宋体"/>
          <w:b w:val="0"/>
          <w:bCs w:val="0"/>
          <w:color w:val="auto"/>
          <w:sz w:val="24"/>
          <w:szCs w:val="24"/>
          <w:highlight w:val="none"/>
          <w:lang w:val="en-US" w:eastAsia="zh-CN"/>
        </w:rPr>
        <w:t xml:space="preserve">    十、价格评分汇总表</w:t>
      </w:r>
    </w:p>
    <w:p>
      <w:pPr>
        <w:pStyle w:val="44"/>
        <w:spacing w:line="240" w:lineRule="auto"/>
        <w:rPr>
          <w:rFonts w:hint="eastAsia"/>
          <w:lang w:val="en-US" w:eastAsia="zh-CN"/>
        </w:rPr>
      </w:pP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44"/>
          <w:szCs w:val="44"/>
          <w:highlight w:val="none"/>
          <w:lang w:val="en-US" w:eastAsia="zh-CN"/>
        </w:rPr>
        <w:t>价格评分汇总表</w:t>
      </w:r>
    </w:p>
    <w:p>
      <w:pPr>
        <w:rPr>
          <w:rFonts w:hint="eastAsia" w:ascii="宋体" w:hAnsi="宋体" w:eastAsia="宋体" w:cs="宋体"/>
          <w:b w:val="0"/>
          <w:bCs w:val="0"/>
          <w:color w:val="auto"/>
          <w:sz w:val="24"/>
          <w:szCs w:val="24"/>
          <w:highlight w:val="none"/>
          <w:lang w:val="en-US" w:eastAsia="zh-CN"/>
        </w:rPr>
      </w:pPr>
    </w:p>
    <w:tbl>
      <w:tblPr>
        <w:tblStyle w:val="3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 w:type="dxa"/>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72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参评供应商名称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13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单价报价（元）</w:t>
            </w:r>
          </w:p>
        </w:tc>
        <w:tc>
          <w:tcPr>
            <w:tcW w:w="111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基准价格（元）</w:t>
            </w:r>
          </w:p>
        </w:tc>
        <w:tc>
          <w:tcPr>
            <w:tcW w:w="1297"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得分</w:t>
            </w:r>
          </w:p>
        </w:tc>
        <w:tc>
          <w:tcPr>
            <w:tcW w:w="84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restart"/>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720"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372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32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10" w:type="dxa"/>
            <w:vMerge w:val="continue"/>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297"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864" w:type="dxa"/>
            <w:gridSpan w:val="2"/>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adjustRightInd w:val="0"/>
        <w:snapToGrid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注：上述表格可手写或打印，但不能涂改。</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成员签名：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color w:val="auto"/>
          <w:sz w:val="24"/>
          <w:szCs w:val="24"/>
          <w:highlight w:val="none"/>
          <w:lang w:val="en-US" w:eastAsia="zh-CN"/>
        </w:rPr>
        <w:t xml:space="preserve">组长签名：             </w:t>
      </w:r>
    </w:p>
    <w:p>
      <w:pPr>
        <w:adjustRightInd w:val="0"/>
        <w:snapToGrid w:val="0"/>
        <w:spacing w:line="560" w:lineRule="exact"/>
        <w:rPr>
          <w:rFonts w:hint="eastAsia" w:ascii="宋体" w:hAnsi="宋体" w:eastAsia="宋体" w:cs="宋体"/>
          <w:b w:val="0"/>
          <w:bCs/>
          <w:color w:val="auto"/>
          <w:sz w:val="24"/>
          <w:szCs w:val="24"/>
          <w:highlight w:val="none"/>
          <w:lang w:val="en-US" w:eastAsia="zh-CN"/>
        </w:rPr>
      </w:pPr>
    </w:p>
    <w:p>
      <w:pPr>
        <w:adjustRightInd w:val="0"/>
        <w:snapToGrid w:val="0"/>
        <w:spacing w:line="560" w:lineRule="exac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31"/>
        <w:rPr>
          <w:rFonts w:hint="eastAsia"/>
          <w:color w:val="auto"/>
          <w:highlight w:val="none"/>
          <w:lang w:val="en-US" w:eastAsia="zh-CN"/>
        </w:rPr>
      </w:pPr>
    </w:p>
    <w:p>
      <w:pPr>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pStyle w:val="44"/>
        <w:rPr>
          <w:rFonts w:hint="eastAsia"/>
          <w:color w:val="auto"/>
          <w:highlight w:val="none"/>
          <w:lang w:val="en-US" w:eastAsia="zh-CN"/>
        </w:rPr>
      </w:pPr>
    </w:p>
    <w:p>
      <w:pPr>
        <w:rPr>
          <w:rFonts w:hint="default"/>
          <w:color w:val="auto"/>
          <w:highlight w:val="none"/>
          <w:lang w:val="en-US" w:eastAsia="zh-CN"/>
        </w:rPr>
        <w:sectPr>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rtlGutter w:val="0"/>
          <w:docGrid w:linePitch="312" w:charSpace="0"/>
        </w:sectPr>
      </w:pPr>
    </w:p>
    <w:p>
      <w:pPr>
        <w:ind w:firstLine="420" w:firstLineChars="200"/>
        <w:rPr>
          <w:rFonts w:hint="eastAsia" w:ascii="宋体" w:hAnsi="宋体" w:eastAsia="宋体" w:cs="宋体"/>
          <w:b w:val="0"/>
          <w:bCs w:val="0"/>
          <w:color w:val="auto"/>
          <w:sz w:val="24"/>
          <w:szCs w:val="24"/>
          <w:highlight w:val="none"/>
          <w:lang w:val="en-US" w:eastAsia="zh-CN"/>
        </w:rPr>
      </w:pPr>
      <w:r>
        <w:rPr>
          <w:rFonts w:hint="eastAsia"/>
          <w:color w:val="auto"/>
          <w:highlight w:val="none"/>
          <w:lang w:val="en-US" w:eastAsia="zh-CN"/>
        </w:rPr>
        <w:t>十一</w:t>
      </w:r>
      <w:r>
        <w:rPr>
          <w:rFonts w:hint="eastAsia" w:ascii="宋体" w:hAnsi="宋体" w:eastAsia="宋体" w:cs="宋体"/>
          <w:b w:val="0"/>
          <w:bCs w:val="0"/>
          <w:color w:val="auto"/>
          <w:sz w:val="24"/>
          <w:szCs w:val="24"/>
          <w:highlight w:val="none"/>
          <w:lang w:val="en-US" w:eastAsia="zh-CN"/>
        </w:rPr>
        <w:t>、评审结果汇总表</w:t>
      </w:r>
    </w:p>
    <w:p>
      <w:pPr>
        <w:rPr>
          <w:rFonts w:hint="eastAsia" w:ascii="宋体" w:hAnsi="宋体" w:eastAsia="宋体" w:cs="宋体"/>
          <w:b w:val="0"/>
          <w:bCs w:val="0"/>
          <w:color w:val="auto"/>
          <w:sz w:val="24"/>
          <w:szCs w:val="24"/>
          <w:highlight w:val="none"/>
          <w:lang w:val="en-US" w:eastAsia="zh-CN"/>
        </w:rPr>
      </w:pPr>
    </w:p>
    <w:p>
      <w:pPr>
        <w:adjustRightInd w:val="0"/>
        <w:snapToGrid w:val="0"/>
        <w:spacing w:line="560" w:lineRule="exact"/>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评审结果汇总表</w:t>
      </w:r>
    </w:p>
    <w:p>
      <w:pPr>
        <w:rPr>
          <w:rFonts w:hint="eastAsia" w:ascii="宋体" w:hAnsi="宋体" w:eastAsia="宋体" w:cs="宋体"/>
          <w:b w:val="0"/>
          <w:bCs w:val="0"/>
          <w:color w:val="auto"/>
          <w:sz w:val="24"/>
          <w:szCs w:val="24"/>
          <w:highlight w:val="none"/>
          <w:lang w:val="en-US" w:eastAsia="zh-CN"/>
        </w:rPr>
      </w:pP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潜在供应商名称</w:t>
            </w:r>
          </w:p>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（按报名顺序排列）</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资格评审情况</w:t>
            </w: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单价报价（元）</w:t>
            </w:r>
          </w:p>
        </w:tc>
        <w:tc>
          <w:tcPr>
            <w:tcW w:w="110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价格得分</w:t>
            </w:r>
          </w:p>
        </w:tc>
        <w:tc>
          <w:tcPr>
            <w:tcW w:w="1105"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技术商务平均得分</w:t>
            </w:r>
          </w:p>
        </w:tc>
        <w:tc>
          <w:tcPr>
            <w:tcW w:w="1105"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Cs w:val="21"/>
                <w:highlight w:val="none"/>
                <w:lang w:val="en-US" w:eastAsia="zh-CN"/>
              </w:rPr>
              <w:t>总得分</w:t>
            </w:r>
          </w:p>
        </w:tc>
        <w:tc>
          <w:tcPr>
            <w:tcW w:w="1054" w:type="dxa"/>
            <w:noWrap w:val="0"/>
            <w:vAlign w:val="center"/>
          </w:tcPr>
          <w:p>
            <w:pPr>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供应商A</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highlight w:val="none"/>
                <w:lang w:val="en-US" w:eastAsia="zh-CN" w:bidi="ar-SA"/>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供应商B</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供应商C</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3067" w:type="dxa"/>
            <w:noWrap w:val="0"/>
            <w:vAlign w:val="center"/>
          </w:tcPr>
          <w:p>
            <w:pPr>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900"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9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105" w:type="dxa"/>
            <w:noWrap w:val="0"/>
            <w:vAlign w:val="center"/>
          </w:tcPr>
          <w:p>
            <w:pPr>
              <w:jc w:val="center"/>
              <w:rPr>
                <w:rFonts w:hint="eastAsia" w:ascii="宋体" w:hAnsi="宋体" w:eastAsia="宋体" w:cs="宋体"/>
                <w:b w:val="0"/>
                <w:bCs w:val="0"/>
                <w:color w:val="auto"/>
                <w:sz w:val="24"/>
                <w:szCs w:val="24"/>
                <w:highlight w:val="none"/>
                <w:lang w:val="en-US" w:eastAsia="zh-CN"/>
              </w:rPr>
            </w:pPr>
          </w:p>
        </w:tc>
        <w:tc>
          <w:tcPr>
            <w:tcW w:w="1054" w:type="dxa"/>
            <w:noWrap w:val="0"/>
            <w:vAlign w:val="center"/>
          </w:tcPr>
          <w:p>
            <w:pPr>
              <w:jc w:val="center"/>
              <w:rPr>
                <w:rFonts w:hint="eastAsia" w:ascii="宋体" w:hAnsi="宋体" w:eastAsia="宋体" w:cs="宋体"/>
                <w:b w:val="0"/>
                <w:bCs w:val="0"/>
                <w:color w:val="auto"/>
                <w:sz w:val="24"/>
                <w:szCs w:val="24"/>
                <w:highlight w:val="none"/>
                <w:lang w:val="en-US" w:eastAsia="zh-CN"/>
              </w:rPr>
            </w:pPr>
          </w:p>
        </w:tc>
      </w:tr>
    </w:tbl>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注：1.资格评审情况填“通过”或“不通过”。</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2.上述表格可手写或打印，但不能涂改。</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val="0"/>
          <w:color w:val="auto"/>
          <w:sz w:val="24"/>
          <w:szCs w:val="24"/>
          <w:highlight w:val="none"/>
          <w:lang w:val="en-US" w:eastAsia="zh-CN"/>
        </w:rPr>
        <w:t xml:space="preserve">成员签名：                  </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b w:val="0"/>
          <w:bCs w:val="0"/>
          <w:color w:val="auto"/>
          <w:sz w:val="24"/>
          <w:szCs w:val="24"/>
          <w:highlight w:val="none"/>
          <w:lang w:val="en-US" w:eastAsia="zh-CN"/>
        </w:rPr>
        <w:t xml:space="preserve">组长签名：             </w:t>
      </w:r>
    </w:p>
    <w:p>
      <w:pPr>
        <w:spacing w:line="560" w:lineRule="exact"/>
        <w:rPr>
          <w:rFonts w:hint="eastAsia" w:ascii="宋体" w:hAnsi="宋体" w:eastAsia="宋体" w:cs="宋体"/>
          <w:b w:val="0"/>
          <w:bCs w:val="0"/>
          <w:color w:val="auto"/>
          <w:sz w:val="24"/>
          <w:szCs w:val="24"/>
          <w:highlight w:val="none"/>
          <w:lang w:val="en-US" w:eastAsia="zh-CN"/>
        </w:rPr>
      </w:pPr>
    </w:p>
    <w:p>
      <w:pPr>
        <w:spacing w:line="56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评审日期：</w:t>
      </w: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b/>
          <w:bCs/>
          <w:sz w:val="44"/>
          <w:szCs w:val="44"/>
          <w:highlight w:val="none"/>
        </w:rPr>
      </w:pPr>
    </w:p>
    <w:p>
      <w:pPr>
        <w:keepNext w:val="0"/>
        <w:keepLines w:val="0"/>
        <w:pageBreakBefore w:val="0"/>
        <w:kinsoku/>
        <w:wordWrap/>
        <w:overflowPunct/>
        <w:topLinePunct w:val="0"/>
        <w:bidi w:val="0"/>
        <w:adjustRightInd w:val="0"/>
        <w:snapToGrid w:val="0"/>
        <w:spacing w:line="560" w:lineRule="exact"/>
        <w:jc w:val="center"/>
        <w:outlineLvl w:val="0"/>
        <w:rPr>
          <w:b/>
          <w:bCs/>
          <w:sz w:val="44"/>
          <w:szCs w:val="44"/>
          <w:highlight w:val="none"/>
        </w:rPr>
      </w:pPr>
      <w:r>
        <w:rPr>
          <w:rFonts w:hint="eastAsia"/>
          <w:b/>
          <w:bCs/>
          <w:sz w:val="44"/>
          <w:szCs w:val="44"/>
          <w:highlight w:val="none"/>
        </w:rPr>
        <w:t>第</w:t>
      </w:r>
      <w:r>
        <w:rPr>
          <w:rFonts w:hint="eastAsia"/>
          <w:b/>
          <w:bCs/>
          <w:sz w:val="44"/>
          <w:szCs w:val="44"/>
          <w:highlight w:val="none"/>
          <w:lang w:val="en-US" w:eastAsia="zh-CN"/>
        </w:rPr>
        <w:t>四</w:t>
      </w:r>
      <w:r>
        <w:rPr>
          <w:rFonts w:hint="eastAsia"/>
          <w:b/>
          <w:bCs/>
          <w:sz w:val="44"/>
          <w:szCs w:val="44"/>
          <w:highlight w:val="none"/>
        </w:rPr>
        <w:t xml:space="preserve">部分  </w:t>
      </w:r>
      <w:r>
        <w:rPr>
          <w:rFonts w:hint="eastAsia"/>
          <w:b/>
          <w:bCs/>
          <w:sz w:val="44"/>
          <w:szCs w:val="44"/>
          <w:highlight w:val="none"/>
          <w:lang w:val="en-US" w:eastAsia="zh-CN"/>
        </w:rPr>
        <w:t>参评响应</w:t>
      </w:r>
      <w:r>
        <w:rPr>
          <w:rFonts w:hint="eastAsia"/>
          <w:b/>
          <w:bCs/>
          <w:sz w:val="44"/>
          <w:szCs w:val="44"/>
          <w:highlight w:val="none"/>
        </w:rPr>
        <w:t>文件格式</w:t>
      </w:r>
    </w:p>
    <w:p>
      <w:pPr>
        <w:keepNext w:val="0"/>
        <w:keepLines w:val="0"/>
        <w:pageBreakBefore w:val="0"/>
        <w:kinsoku/>
        <w:wordWrap/>
        <w:overflowPunct/>
        <w:topLinePunct w:val="0"/>
        <w:bidi w:val="0"/>
        <w:adjustRightInd w:val="0"/>
        <w:snapToGrid w:val="0"/>
        <w:spacing w:line="560" w:lineRule="exact"/>
        <w:rPr>
          <w:rFonts w:ascii="仿宋_GB2312" w:eastAsia="仿宋_GB2312"/>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44"/>
          <w:szCs w:val="44"/>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96"/>
          <w:szCs w:val="96"/>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96"/>
          <w:szCs w:val="96"/>
          <w:highlight w:val="none"/>
          <w:lang w:val="en-US" w:eastAsia="zh-CN"/>
        </w:rPr>
      </w:pPr>
    </w:p>
    <w:p>
      <w:pPr>
        <w:pStyle w:val="16"/>
        <w:keepNext w:val="0"/>
        <w:keepLines w:val="0"/>
        <w:pageBreakBefore w:val="0"/>
        <w:kinsoku/>
        <w:wordWrap/>
        <w:overflowPunct/>
        <w:topLinePunct w:val="0"/>
        <w:bidi w:val="0"/>
        <w:spacing w:line="240" w:lineRule="auto"/>
        <w:jc w:val="center"/>
        <w:rPr>
          <w:rFonts w:hint="eastAsia" w:ascii="Times New Roman" w:hAnsi="Times New Roman"/>
          <w:b/>
          <w:sz w:val="44"/>
          <w:szCs w:val="44"/>
          <w:highlight w:val="none"/>
        </w:rPr>
      </w:pPr>
      <w:r>
        <w:rPr>
          <w:rFonts w:hint="eastAsia" w:ascii="Times New Roman" w:hAnsi="Times New Roman"/>
          <w:b/>
          <w:sz w:val="96"/>
          <w:szCs w:val="96"/>
          <w:highlight w:val="none"/>
          <w:lang w:val="en-US" w:eastAsia="zh-CN"/>
        </w:rPr>
        <w:t xml:space="preserve">参 评 </w:t>
      </w:r>
      <w:r>
        <w:rPr>
          <w:rFonts w:hint="eastAsia" w:ascii="Times New Roman" w:hAnsi="Times New Roman"/>
          <w:b/>
          <w:sz w:val="96"/>
          <w:szCs w:val="96"/>
          <w:highlight w:val="none"/>
        </w:rPr>
        <w:t>文</w:t>
      </w:r>
      <w:r>
        <w:rPr>
          <w:rFonts w:hint="eastAsia" w:ascii="Times New Roman" w:hAnsi="Times New Roman"/>
          <w:b/>
          <w:sz w:val="96"/>
          <w:szCs w:val="96"/>
          <w:highlight w:val="none"/>
          <w:lang w:val="en-US" w:eastAsia="zh-CN"/>
        </w:rPr>
        <w:t xml:space="preserve"> </w:t>
      </w:r>
      <w:r>
        <w:rPr>
          <w:rFonts w:hint="eastAsia" w:ascii="Times New Roman" w:hAnsi="Times New Roman"/>
          <w:b/>
          <w:sz w:val="96"/>
          <w:szCs w:val="96"/>
          <w:highlight w:val="none"/>
        </w:rPr>
        <w:t>件</w:t>
      </w:r>
    </w:p>
    <w:p>
      <w:pPr>
        <w:pStyle w:val="16"/>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pPr>
        <w:pStyle w:val="16"/>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pPr>
        <w:pStyle w:val="16"/>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r>
        <w:rPr>
          <w:rFonts w:hint="eastAsia" w:ascii="Times New Roman" w:hAnsi="Times New Roman"/>
          <w:b/>
          <w:sz w:val="32"/>
          <w:szCs w:val="32"/>
          <w:highlight w:val="none"/>
        </w:rPr>
        <w:t xml:space="preserve"> </w:t>
      </w:r>
    </w:p>
    <w:p>
      <w:pPr>
        <w:pStyle w:val="16"/>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r>
        <w:rPr>
          <w:rFonts w:hint="eastAsia" w:ascii="Times New Roman" w:hAnsi="Times New Roman"/>
          <w:b/>
          <w:sz w:val="32"/>
          <w:szCs w:val="32"/>
          <w:highlight w:val="none"/>
        </w:rPr>
        <w:t>项目名称：中山市公共交通运</w:t>
      </w:r>
      <w:r>
        <w:rPr>
          <w:rFonts w:hint="eastAsia" w:ascii="Times New Roman" w:hAnsi="Times New Roman" w:eastAsia="宋体" w:cs="Courier New"/>
          <w:b/>
          <w:sz w:val="32"/>
          <w:szCs w:val="32"/>
          <w:highlight w:val="none"/>
        </w:rPr>
        <w:t>输集团有限公司</w:t>
      </w:r>
      <w:r>
        <w:rPr>
          <w:rFonts w:hint="eastAsia" w:ascii="Times New Roman" w:hAnsi="Times New Roman" w:eastAsia="宋体" w:cs="Courier New"/>
          <w:b/>
          <w:sz w:val="32"/>
          <w:szCs w:val="32"/>
          <w:highlight w:val="none"/>
          <w:lang w:val="en-US" w:eastAsia="zh-CN"/>
        </w:rPr>
        <w:t>公交财政补贴政策研究咨询报告等服务采购项目</w:t>
      </w:r>
    </w:p>
    <w:p>
      <w:pPr>
        <w:pStyle w:val="16"/>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pPr>
        <w:pStyle w:val="16"/>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参评供应商</w:t>
      </w:r>
      <w:r>
        <w:rPr>
          <w:rFonts w:hint="eastAsia" w:ascii="Times New Roman" w:hAnsi="Times New Roman"/>
          <w:b/>
          <w:sz w:val="32"/>
          <w:szCs w:val="32"/>
          <w:highlight w:val="none"/>
        </w:rPr>
        <w:t xml:space="preserve">名称（盖章）：     </w:t>
      </w:r>
    </w:p>
    <w:p>
      <w:pPr>
        <w:pStyle w:val="16"/>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pPr>
        <w:pStyle w:val="16"/>
        <w:keepNext w:val="0"/>
        <w:keepLines w:val="0"/>
        <w:pageBreakBefore w:val="0"/>
        <w:kinsoku/>
        <w:wordWrap/>
        <w:overflowPunct/>
        <w:topLinePunct w:val="0"/>
        <w:bidi w:val="0"/>
        <w:spacing w:line="560" w:lineRule="exact"/>
        <w:rPr>
          <w:rFonts w:ascii="Times New Roman" w:hAnsi="Times New Roman"/>
          <w:b/>
          <w:sz w:val="32"/>
          <w:szCs w:val="32"/>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             </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pStyle w:val="31"/>
        <w:rPr>
          <w:rFonts w:hint="eastAsia" w:ascii="宋体" w:hAnsi="宋体"/>
          <w:b/>
          <w:bCs/>
          <w:sz w:val="24"/>
          <w:highlight w:val="none"/>
        </w:rPr>
      </w:pPr>
    </w:p>
    <w:p>
      <w:pPr>
        <w:rPr>
          <w:rFonts w:hint="eastAsia" w:ascii="宋体" w:hAnsi="宋体"/>
          <w:b/>
          <w:bCs/>
          <w:sz w:val="24"/>
          <w:highlight w:val="none"/>
        </w:rPr>
      </w:pPr>
    </w:p>
    <w:p>
      <w:pPr>
        <w:pStyle w:val="31"/>
        <w:rPr>
          <w:rFonts w:hint="eastAsia" w:ascii="宋体" w:hAnsi="宋体"/>
          <w:b/>
          <w:bCs/>
          <w:sz w:val="24"/>
          <w:highlight w:val="none"/>
        </w:rPr>
      </w:pPr>
    </w:p>
    <w:p>
      <w:pPr>
        <w:rPr>
          <w:rFonts w:hint="eastAsia" w:ascii="宋体" w:hAnsi="宋体"/>
          <w:b/>
          <w:bCs/>
          <w:sz w:val="24"/>
          <w:highlight w:val="none"/>
        </w:rPr>
      </w:pPr>
    </w:p>
    <w:p>
      <w:pPr>
        <w:pStyle w:val="31"/>
        <w:rPr>
          <w:rFonts w:hint="eastAsia" w:ascii="宋体" w:hAnsi="宋体"/>
          <w:b/>
          <w:bCs/>
          <w:sz w:val="24"/>
          <w:highlight w:val="none"/>
        </w:rPr>
      </w:pPr>
    </w:p>
    <w:p>
      <w:pPr>
        <w:rPr>
          <w:rFonts w:hint="eastAsia" w:ascii="宋体" w:hAnsi="宋体"/>
          <w:b/>
          <w:bCs/>
          <w:sz w:val="24"/>
          <w:highlight w:val="none"/>
        </w:rPr>
      </w:pPr>
    </w:p>
    <w:p>
      <w:pPr>
        <w:pStyle w:val="31"/>
        <w:rPr>
          <w:rFonts w:hint="eastAsia" w:ascii="宋体" w:hAnsi="宋体"/>
          <w:b/>
          <w:bCs/>
          <w:sz w:val="24"/>
          <w:highlight w:val="none"/>
        </w:rPr>
      </w:pPr>
    </w:p>
    <w:p>
      <w:pPr>
        <w:rPr>
          <w:rFonts w:hint="eastAsia" w:ascii="宋体" w:hAnsi="宋体"/>
          <w:b/>
          <w:bCs/>
          <w:sz w:val="24"/>
          <w:highlight w:val="none"/>
        </w:rPr>
      </w:pPr>
    </w:p>
    <w:p>
      <w:pPr>
        <w:pStyle w:val="31"/>
        <w:rPr>
          <w:rFonts w:hint="eastAsia"/>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ascii="宋体" w:hAnsi="宋体"/>
          <w:b/>
          <w:bCs/>
          <w:color w:val="auto"/>
          <w:sz w:val="24"/>
          <w:highlight w:val="none"/>
        </w:rPr>
      </w:pPr>
      <w:r>
        <w:rPr>
          <w:rFonts w:hint="eastAsia" w:ascii="宋体" w:hAnsi="宋体"/>
          <w:b/>
          <w:bCs/>
          <w:sz w:val="24"/>
          <w:highlight w:val="none"/>
          <w:lang w:val="en-US" w:eastAsia="zh-CN"/>
        </w:rPr>
        <w:br w:type="page"/>
      </w:r>
      <w:r>
        <w:rPr>
          <w:rFonts w:hint="eastAsia" w:ascii="宋体" w:hAnsi="宋体"/>
          <w:b/>
          <w:bCs/>
          <w:color w:val="auto"/>
          <w:sz w:val="24"/>
          <w:highlight w:val="none"/>
          <w:lang w:val="en-US" w:eastAsia="zh-CN"/>
        </w:rPr>
        <w:t xml:space="preserve">格式1 </w:t>
      </w:r>
      <w:r>
        <w:rPr>
          <w:rFonts w:hint="eastAsia" w:ascii="宋体" w:hAnsi="宋体"/>
          <w:b/>
          <w:bCs/>
          <w:color w:val="auto"/>
          <w:sz w:val="24"/>
          <w:highlight w:val="none"/>
        </w:rPr>
        <w:t>承诺函</w:t>
      </w:r>
    </w:p>
    <w:p>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承 诺 函</w:t>
      </w:r>
    </w:p>
    <w:p>
      <w:pPr>
        <w:keepNext w:val="0"/>
        <w:keepLines w:val="0"/>
        <w:pageBreakBefore w:val="0"/>
        <w:tabs>
          <w:tab w:val="left" w:pos="900"/>
        </w:tabs>
        <w:kinsoku/>
        <w:wordWrap/>
        <w:overflowPunct/>
        <w:topLinePunct w:val="0"/>
        <w:bidi w:val="0"/>
        <w:spacing w:line="50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中山市公共交通运输集团有限公司</w:t>
      </w:r>
      <w:r>
        <w:rPr>
          <w:rFonts w:hint="eastAsia" w:ascii="宋体" w:hAnsi="宋体" w:eastAsia="宋体" w:cs="宋体"/>
          <w:bCs/>
          <w:color w:val="auto"/>
          <w:sz w:val="24"/>
          <w:highlight w:val="none"/>
        </w:rPr>
        <w:t>：</w:t>
      </w:r>
    </w:p>
    <w:p>
      <w:pPr>
        <w:keepNext w:val="0"/>
        <w:keepLines w:val="0"/>
        <w:pageBreakBefore w:val="0"/>
        <w:tabs>
          <w:tab w:val="left" w:pos="900"/>
        </w:tabs>
        <w:kinsoku/>
        <w:wordWrap/>
        <w:overflowPunct/>
        <w:topLinePunct w:val="0"/>
        <w:bidi w:val="0"/>
        <w:spacing w:line="5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我方确认收到</w:t>
      </w: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single"/>
          <w:lang w:val="en-US" w:eastAsia="zh-CN"/>
        </w:rPr>
        <w:t>中山市公共交通运输集团有限公司公交财政补贴政策研究咨询报告等服务采购项目</w:t>
      </w:r>
      <w:r>
        <w:rPr>
          <w:rFonts w:hint="eastAsia" w:ascii="宋体" w:hAnsi="宋体" w:eastAsia="宋体" w:cs="宋体"/>
          <w:bCs/>
          <w:color w:val="auto"/>
          <w:sz w:val="24"/>
          <w:highlight w:val="none"/>
          <w:u w:val="single"/>
          <w:lang w:eastAsia="zh-CN"/>
        </w:rPr>
        <w:t>》</w:t>
      </w:r>
      <w:r>
        <w:rPr>
          <w:rFonts w:hint="eastAsia" w:ascii="宋体" w:hAnsi="宋体" w:eastAsia="宋体" w:cs="宋体"/>
          <w:bCs/>
          <w:color w:val="auto"/>
          <w:sz w:val="24"/>
          <w:highlight w:val="none"/>
          <w:u w:val="single"/>
          <w:lang w:val="en-US" w:eastAsia="zh-CN"/>
        </w:rPr>
        <w:t>采购</w:t>
      </w:r>
      <w:r>
        <w:rPr>
          <w:rFonts w:hint="eastAsia" w:ascii="宋体" w:hAnsi="宋体" w:eastAsia="宋体" w:cs="宋体"/>
          <w:bCs/>
          <w:color w:val="auto"/>
          <w:sz w:val="24"/>
          <w:highlight w:val="none"/>
        </w:rPr>
        <w:t>文件，经详细研究，决定参加该项目</w:t>
      </w:r>
      <w:r>
        <w:rPr>
          <w:rFonts w:hint="eastAsia" w:ascii="宋体" w:hAnsi="宋体" w:eastAsia="宋体" w:cs="宋体"/>
          <w:bCs/>
          <w:color w:val="auto"/>
          <w:sz w:val="24"/>
          <w:highlight w:val="none"/>
          <w:lang w:val="en-US" w:eastAsia="zh-CN"/>
        </w:rPr>
        <w:t>评选</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并作出如下承诺：</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1.同意并接受</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文件的各项要求，</w:t>
      </w:r>
      <w:r>
        <w:rPr>
          <w:rFonts w:hint="eastAsia" w:ascii="宋体" w:hAnsi="宋体" w:eastAsia="宋体" w:cs="宋体"/>
          <w:bCs/>
          <w:color w:val="auto"/>
          <w:sz w:val="24"/>
          <w:highlight w:val="none"/>
          <w:lang w:eastAsia="zh-CN"/>
        </w:rPr>
        <w:t>完全接受</w:t>
      </w:r>
      <w:r>
        <w:rPr>
          <w:rFonts w:hint="eastAsia" w:ascii="宋体" w:hAnsi="宋体" w:eastAsia="宋体" w:cs="宋体"/>
          <w:bCs/>
          <w:color w:val="auto"/>
          <w:sz w:val="24"/>
          <w:highlight w:val="none"/>
          <w:lang w:val="en-US" w:eastAsia="zh-CN"/>
        </w:rPr>
        <w:t>贵方设定的全部</w:t>
      </w:r>
      <w:r>
        <w:rPr>
          <w:rFonts w:hint="eastAsia" w:ascii="宋体" w:hAnsi="宋体" w:eastAsia="宋体" w:cs="宋体"/>
          <w:bCs/>
          <w:color w:val="auto"/>
          <w:sz w:val="24"/>
          <w:highlight w:val="none"/>
          <w:lang w:eastAsia="zh-CN"/>
        </w:rPr>
        <w:t>参数、配置、条款，</w:t>
      </w:r>
      <w:r>
        <w:rPr>
          <w:rFonts w:hint="eastAsia" w:ascii="宋体" w:hAnsi="宋体" w:eastAsia="宋体" w:cs="宋体"/>
          <w:bCs/>
          <w:color w:val="auto"/>
          <w:sz w:val="24"/>
          <w:highlight w:val="none"/>
          <w:lang w:val="en-US" w:eastAsia="zh-CN"/>
        </w:rPr>
        <w:t>满足采购</w:t>
      </w:r>
      <w:r>
        <w:rPr>
          <w:rFonts w:hint="eastAsia" w:ascii="宋体" w:hAnsi="宋体" w:eastAsia="宋体" w:cs="宋体"/>
          <w:bCs/>
          <w:color w:val="auto"/>
          <w:sz w:val="24"/>
          <w:highlight w:val="none"/>
        </w:rPr>
        <w:t>文件中的各项</w:t>
      </w:r>
      <w:r>
        <w:rPr>
          <w:rFonts w:hint="eastAsia" w:ascii="宋体" w:hAnsi="宋体" w:eastAsia="宋体" w:cs="宋体"/>
          <w:bCs/>
          <w:color w:val="auto"/>
          <w:sz w:val="24"/>
          <w:highlight w:val="none"/>
          <w:lang w:val="en-US" w:eastAsia="zh-CN"/>
        </w:rPr>
        <w:t>需求（详见《需求响应表》）</w:t>
      </w:r>
      <w:r>
        <w:rPr>
          <w:rFonts w:hint="eastAsia" w:ascii="宋体" w:hAnsi="宋体" w:eastAsia="宋体" w:cs="宋体"/>
          <w:bCs/>
          <w:color w:val="auto"/>
          <w:sz w:val="24"/>
          <w:highlight w:val="none"/>
        </w:rPr>
        <w:t>，按</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文件的要求提供报价（详见</w:t>
      </w:r>
      <w:r>
        <w:rPr>
          <w:rFonts w:hint="eastAsia" w:ascii="宋体" w:hAnsi="宋体" w:eastAsia="宋体" w:cs="宋体"/>
          <w:bCs/>
          <w:color w:val="auto"/>
          <w:sz w:val="24"/>
          <w:highlight w:val="none"/>
          <w:lang w:val="en-US" w:eastAsia="zh-CN"/>
        </w:rPr>
        <w:t>报价表</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2.我方已详细研究</w:t>
      </w:r>
      <w:r>
        <w:rPr>
          <w:rFonts w:hint="eastAsia" w:ascii="宋体" w:hAnsi="宋体" w:eastAsia="宋体" w:cs="宋体"/>
          <w:bCs/>
          <w:color w:val="auto"/>
          <w:sz w:val="24"/>
          <w:highlight w:val="none"/>
          <w:lang w:val="en-US" w:eastAsia="zh-CN"/>
        </w:rPr>
        <w:t>采购</w:t>
      </w:r>
      <w:r>
        <w:rPr>
          <w:rFonts w:hint="eastAsia" w:ascii="宋体" w:hAnsi="宋体" w:eastAsia="宋体" w:cs="宋体"/>
          <w:bCs/>
          <w:color w:val="auto"/>
          <w:sz w:val="24"/>
          <w:highlight w:val="none"/>
        </w:rPr>
        <w:t>文件的所有内容，包括修改文件(如有)和所有已收到的参考资料以及有关附件(如有)，并完全明白，不存在任何含糊不清和误解之处，同意放弃对这些文件所提出的异议和质疑的权利。</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3.我方同意按照贵方可能提出的要求而提供与</w:t>
      </w:r>
      <w:r>
        <w:rPr>
          <w:rFonts w:hint="eastAsia" w:ascii="宋体" w:hAnsi="宋体" w:eastAsia="宋体" w:cs="宋体"/>
          <w:bCs/>
          <w:color w:val="auto"/>
          <w:sz w:val="24"/>
          <w:highlight w:val="none"/>
          <w:lang w:val="en-US" w:eastAsia="zh-CN"/>
        </w:rPr>
        <w:t>参评</w:t>
      </w:r>
      <w:r>
        <w:rPr>
          <w:rFonts w:hint="eastAsia" w:ascii="宋体" w:hAnsi="宋体" w:eastAsia="宋体" w:cs="宋体"/>
          <w:bCs/>
          <w:color w:val="auto"/>
          <w:sz w:val="24"/>
          <w:highlight w:val="none"/>
        </w:rPr>
        <w:t>有关的任何其它资料、数据或信息。</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4.我方</w:t>
      </w:r>
      <w:r>
        <w:rPr>
          <w:rFonts w:hint="eastAsia" w:ascii="宋体" w:hAnsi="宋体" w:eastAsia="宋体" w:cs="宋体"/>
          <w:bCs/>
          <w:color w:val="auto"/>
          <w:sz w:val="24"/>
          <w:highlight w:val="none"/>
        </w:rPr>
        <w:t>保证，</w:t>
      </w:r>
      <w:r>
        <w:rPr>
          <w:rFonts w:hint="eastAsia" w:ascii="宋体" w:hAnsi="宋体" w:eastAsia="宋体" w:cs="宋体"/>
          <w:bCs/>
          <w:color w:val="auto"/>
          <w:sz w:val="24"/>
          <w:highlight w:val="none"/>
          <w:lang w:val="en-US" w:eastAsia="zh-CN"/>
        </w:rPr>
        <w:t>贵方</w:t>
      </w:r>
      <w:r>
        <w:rPr>
          <w:rFonts w:hint="eastAsia" w:ascii="宋体" w:hAnsi="宋体" w:eastAsia="宋体" w:cs="宋体"/>
          <w:bCs/>
          <w:color w:val="auto"/>
          <w:sz w:val="24"/>
          <w:highlight w:val="none"/>
        </w:rPr>
        <w:t>在中华人民共和国使用该</w:t>
      </w:r>
      <w:r>
        <w:rPr>
          <w:rFonts w:hint="eastAsia" w:ascii="宋体" w:hAnsi="宋体" w:eastAsia="宋体" w:cs="宋体"/>
          <w:bCs/>
          <w:color w:val="auto"/>
          <w:sz w:val="24"/>
          <w:highlight w:val="none"/>
          <w:lang w:val="en-US" w:eastAsia="zh-CN"/>
        </w:rPr>
        <w:t>成果</w:t>
      </w:r>
      <w:r>
        <w:rPr>
          <w:rFonts w:hint="eastAsia" w:ascii="宋体" w:hAnsi="宋体" w:eastAsia="宋体" w:cs="宋体"/>
          <w:bCs/>
          <w:color w:val="auto"/>
          <w:sz w:val="24"/>
          <w:highlight w:val="none"/>
        </w:rPr>
        <w:t>时，免受第三方提出的侵犯其专利权、商标权、著作权或其它知识产权的起诉</w:t>
      </w:r>
      <w:r>
        <w:rPr>
          <w:rFonts w:hint="eastAsia" w:ascii="宋体" w:hAnsi="宋体" w:eastAsia="宋体" w:cs="宋体"/>
          <w:bCs/>
          <w:color w:val="auto"/>
          <w:sz w:val="24"/>
          <w:highlight w:val="none"/>
          <w:lang w:eastAsia="zh-CN"/>
        </w:rPr>
        <w:t>。</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我方承诺在本次</w:t>
      </w:r>
      <w:r>
        <w:rPr>
          <w:rFonts w:hint="eastAsia" w:ascii="宋体" w:hAnsi="宋体" w:eastAsia="宋体" w:cs="宋体"/>
          <w:bCs/>
          <w:color w:val="auto"/>
          <w:sz w:val="24"/>
          <w:highlight w:val="none"/>
          <w:lang w:val="en-US" w:eastAsia="zh-CN"/>
        </w:rPr>
        <w:t>参评</w:t>
      </w:r>
      <w:r>
        <w:rPr>
          <w:rFonts w:hint="eastAsia" w:ascii="宋体" w:hAnsi="宋体" w:eastAsia="宋体" w:cs="宋体"/>
          <w:bCs/>
          <w:color w:val="auto"/>
          <w:sz w:val="24"/>
          <w:highlight w:val="none"/>
        </w:rPr>
        <w:t>文件中提供的一切文件，无论是原件还是复印件均为真实和准确的，绝无任何虚假、伪造和夸大的成份，否则，愿承担相应的后果和法律责任。</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我方为</w:t>
      </w:r>
      <w:r>
        <w:rPr>
          <w:rFonts w:hint="eastAsia" w:ascii="宋体" w:hAnsi="宋体" w:eastAsia="宋体" w:cs="宋体"/>
          <w:bCs/>
          <w:color w:val="auto"/>
          <w:sz w:val="24"/>
          <w:highlight w:val="none"/>
          <w:lang w:val="zh-CN" w:eastAsia="zh-CN"/>
        </w:rPr>
        <w:t>具有</w:t>
      </w:r>
      <w:r>
        <w:rPr>
          <w:rFonts w:hint="eastAsia" w:ascii="宋体" w:hAnsi="宋体" w:eastAsia="宋体" w:cs="宋体"/>
          <w:bCs/>
          <w:color w:val="auto"/>
          <w:sz w:val="24"/>
          <w:highlight w:val="none"/>
          <w:lang w:val="en-US" w:eastAsia="zh-CN"/>
        </w:rPr>
        <w:t>独立</w:t>
      </w:r>
      <w:r>
        <w:rPr>
          <w:rFonts w:hint="eastAsia" w:ascii="宋体" w:hAnsi="宋体" w:eastAsia="宋体" w:cs="宋体"/>
          <w:bCs/>
          <w:color w:val="auto"/>
          <w:sz w:val="24"/>
          <w:highlight w:val="none"/>
          <w:lang w:val="zh-CN" w:eastAsia="zh-CN"/>
        </w:rPr>
        <w:t>承担民事责任能力的在中华人民共和国境内注册的企业法人或其他社会组织，并独立于</w:t>
      </w:r>
      <w:r>
        <w:rPr>
          <w:rFonts w:hint="eastAsia" w:ascii="宋体" w:hAnsi="宋体" w:eastAsia="宋体" w:cs="宋体"/>
          <w:bCs/>
          <w:color w:val="auto"/>
          <w:sz w:val="24"/>
          <w:highlight w:val="none"/>
          <w:lang w:val="en-US" w:eastAsia="zh-CN"/>
        </w:rPr>
        <w:t>贵方，且非联合体参评报价。</w:t>
      </w:r>
    </w:p>
    <w:p>
      <w:pPr>
        <w:keepNext w:val="0"/>
        <w:keepLines w:val="0"/>
        <w:pageBreakBefore w:val="0"/>
        <w:tabs>
          <w:tab w:val="left" w:pos="900"/>
        </w:tabs>
        <w:kinsoku/>
        <w:wordWrap/>
        <w:overflowPunct/>
        <w:topLinePunct w:val="0"/>
        <w:bidi w:val="0"/>
        <w:spacing w:line="5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我方如果中选，将按照</w:t>
      </w:r>
      <w:r>
        <w:rPr>
          <w:rFonts w:hint="eastAsia" w:ascii="宋体" w:hAnsi="宋体" w:eastAsia="宋体" w:cs="宋体"/>
          <w:bCs/>
          <w:color w:val="auto"/>
          <w:sz w:val="24"/>
          <w:highlight w:val="none"/>
          <w:lang w:val="en-US" w:eastAsia="zh-CN"/>
        </w:rPr>
        <w:t>贵方采购</w:t>
      </w:r>
      <w:r>
        <w:rPr>
          <w:rFonts w:hint="eastAsia" w:ascii="宋体" w:hAnsi="宋体" w:eastAsia="宋体" w:cs="宋体"/>
          <w:bCs/>
          <w:color w:val="auto"/>
          <w:sz w:val="24"/>
          <w:highlight w:val="none"/>
        </w:rPr>
        <w:t>文件及其修改文件（如有）的要求及我方</w:t>
      </w:r>
      <w:r>
        <w:rPr>
          <w:rFonts w:hint="eastAsia" w:ascii="宋体" w:hAnsi="宋体" w:eastAsia="宋体" w:cs="宋体"/>
          <w:bCs/>
          <w:color w:val="auto"/>
          <w:sz w:val="24"/>
          <w:highlight w:val="none"/>
          <w:lang w:val="en-US" w:eastAsia="zh-CN"/>
        </w:rPr>
        <w:t>参评</w:t>
      </w:r>
      <w:r>
        <w:rPr>
          <w:rFonts w:hint="eastAsia" w:ascii="宋体" w:hAnsi="宋体" w:eastAsia="宋体" w:cs="宋体"/>
          <w:bCs/>
          <w:color w:val="auto"/>
          <w:sz w:val="24"/>
          <w:highlight w:val="none"/>
        </w:rPr>
        <w:t>承诺，按质、按量、按期履行全部责任和义务</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且不会以任何方式转包或分包本项目。</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8.参评</w:t>
      </w:r>
      <w:r>
        <w:rPr>
          <w:rFonts w:hint="eastAsia" w:ascii="宋体" w:hAnsi="宋体" w:eastAsia="宋体" w:cs="宋体"/>
          <w:bCs/>
          <w:color w:val="auto"/>
          <w:sz w:val="24"/>
          <w:highlight w:val="none"/>
        </w:rPr>
        <w:t>文件有效期：</w:t>
      </w:r>
      <w:r>
        <w:rPr>
          <w:rFonts w:hint="eastAsia" w:ascii="宋体" w:hAnsi="宋体" w:eastAsia="宋体" w:cs="宋体"/>
          <w:bCs/>
          <w:color w:val="auto"/>
          <w:sz w:val="24"/>
          <w:highlight w:val="none"/>
          <w:lang w:val="en-US" w:eastAsia="zh-CN"/>
        </w:rPr>
        <w:t>报名</w:t>
      </w:r>
      <w:r>
        <w:rPr>
          <w:rFonts w:hint="eastAsia" w:ascii="宋体" w:hAnsi="宋体" w:eastAsia="宋体" w:cs="宋体"/>
          <w:bCs/>
          <w:color w:val="auto"/>
          <w:sz w:val="24"/>
          <w:highlight w:val="none"/>
        </w:rPr>
        <w:t>截止</w:t>
      </w:r>
      <w:r>
        <w:rPr>
          <w:rFonts w:hint="eastAsia" w:ascii="宋体" w:hAnsi="宋体" w:eastAsia="宋体" w:cs="宋体"/>
          <w:bCs/>
          <w:color w:val="auto"/>
          <w:sz w:val="24"/>
          <w:highlight w:val="none"/>
          <w:lang w:val="en-US" w:eastAsia="zh-CN"/>
        </w:rPr>
        <w:t>之</w:t>
      </w:r>
      <w:r>
        <w:rPr>
          <w:rFonts w:hint="eastAsia" w:ascii="宋体" w:hAnsi="宋体" w:eastAsia="宋体" w:cs="宋体"/>
          <w:bCs/>
          <w:color w:val="auto"/>
          <w:sz w:val="24"/>
          <w:highlight w:val="none"/>
        </w:rPr>
        <w:t>日后</w:t>
      </w:r>
      <w:r>
        <w:rPr>
          <w:rFonts w:hint="eastAsia" w:ascii="宋体" w:hAnsi="宋体" w:eastAsia="宋体" w:cs="宋体"/>
          <w:bCs/>
          <w:color w:val="auto"/>
          <w:sz w:val="24"/>
          <w:highlight w:val="none"/>
          <w:lang w:val="en-US" w:eastAsia="zh-CN"/>
        </w:rPr>
        <w:t>90</w:t>
      </w:r>
      <w:r>
        <w:rPr>
          <w:rFonts w:hint="eastAsia" w:ascii="宋体" w:hAnsi="宋体" w:eastAsia="宋体" w:cs="宋体"/>
          <w:bCs/>
          <w:color w:val="auto"/>
          <w:sz w:val="24"/>
          <w:highlight w:val="none"/>
        </w:rPr>
        <w:t>天内有效。</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参评供应商</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盖</w:t>
      </w:r>
      <w:r>
        <w:rPr>
          <w:rFonts w:hint="eastAsia" w:ascii="宋体" w:hAnsi="宋体" w:eastAsia="宋体" w:cs="宋体"/>
          <w:bCs/>
          <w:color w:val="auto"/>
          <w:sz w:val="24"/>
          <w:highlight w:val="none"/>
        </w:rPr>
        <w:t>章）：</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地址： </w:t>
      </w:r>
    </w:p>
    <w:p>
      <w:pPr>
        <w:keepNext w:val="0"/>
        <w:keepLines w:val="0"/>
        <w:pageBreakBefore w:val="0"/>
        <w:tabs>
          <w:tab w:val="left" w:pos="900"/>
        </w:tabs>
        <w:kinsoku/>
        <w:wordWrap/>
        <w:overflowPunct/>
        <w:topLinePunct w:val="0"/>
        <w:bidi w:val="0"/>
        <w:spacing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联系方式：</w:t>
      </w:r>
      <w:r>
        <w:rPr>
          <w:rFonts w:hint="eastAsia" w:ascii="宋体" w:hAnsi="宋体" w:eastAsia="宋体" w:cs="宋体"/>
          <w:bCs/>
          <w:color w:val="auto"/>
          <w:sz w:val="24"/>
          <w:highlight w:val="none"/>
        </w:rPr>
        <w:t xml:space="preserve">                 </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b/>
          <w:bCs/>
          <w:color w:val="auto"/>
          <w:sz w:val="24"/>
          <w:highlight w:val="none"/>
          <w:lang w:val="en-US" w:eastAsia="zh-CN"/>
        </w:rPr>
      </w:pPr>
      <w:r>
        <w:rPr>
          <w:rFonts w:hint="eastAsia" w:ascii="宋体" w:hAnsi="宋体" w:eastAsia="宋体" w:cs="宋体"/>
          <w:bCs/>
          <w:color w:val="auto"/>
          <w:sz w:val="24"/>
          <w:highlight w:val="none"/>
        </w:rPr>
        <w:t>日期：</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80" w:firstLineChars="200"/>
        <w:textAlignment w:val="auto"/>
        <w:rPr>
          <w:rFonts w:ascii="宋体" w:hAnsi="宋体"/>
          <w:bCs/>
          <w:sz w:val="24"/>
          <w:highlight w:val="none"/>
        </w:rPr>
      </w:pPr>
    </w:p>
    <w:p>
      <w:pPr>
        <w:keepNext w:val="0"/>
        <w:keepLines w:val="0"/>
        <w:pageBreakBefore w:val="0"/>
        <w:kinsoku/>
        <w:wordWrap/>
        <w:overflowPunct/>
        <w:topLinePunct w:val="0"/>
        <w:bidi w:val="0"/>
        <w:adjustRightInd w:val="0"/>
        <w:snapToGrid w:val="0"/>
        <w:spacing w:line="560" w:lineRule="exact"/>
        <w:jc w:val="left"/>
        <w:rPr>
          <w:rFonts w:hint="default" w:ascii="宋体" w:hAnsi="宋体" w:eastAsia="宋体" w:cs="仿宋_GB2312"/>
          <w:b/>
          <w:color w:val="auto"/>
          <w:sz w:val="44"/>
          <w:szCs w:val="44"/>
          <w:highlight w:val="none"/>
          <w:lang w:val="en-US" w:eastAsia="zh-CN"/>
        </w:rPr>
      </w:pP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格式</w:t>
      </w:r>
      <w:r>
        <w:rPr>
          <w:rFonts w:hint="eastAsia" w:ascii="宋体" w:hAnsi="宋体"/>
          <w:b/>
          <w:bCs/>
          <w:color w:val="auto"/>
          <w:sz w:val="24"/>
          <w:highlight w:val="none"/>
        </w:rPr>
        <w:t>2</w:t>
      </w:r>
      <w:r>
        <w:rPr>
          <w:rFonts w:hint="eastAsia" w:ascii="宋体" w:hAnsi="宋体"/>
          <w:b/>
          <w:bCs/>
          <w:color w:val="auto"/>
          <w:sz w:val="24"/>
          <w:highlight w:val="none"/>
          <w:lang w:val="en-US" w:eastAsia="zh-CN"/>
        </w:rPr>
        <w:t xml:space="preserve"> </w:t>
      </w:r>
      <w:r>
        <w:rPr>
          <w:rFonts w:hint="eastAsia" w:ascii="宋体" w:hAnsi="宋体" w:eastAsia="宋体" w:cs="Times New Roman"/>
          <w:b/>
          <w:bCs/>
          <w:color w:val="auto"/>
          <w:sz w:val="24"/>
          <w:szCs w:val="24"/>
          <w:highlight w:val="none"/>
          <w:lang w:val="en-US" w:eastAsia="zh-CN"/>
        </w:rPr>
        <w:t>法定代表人证明书</w:t>
      </w:r>
    </w:p>
    <w:p>
      <w:pPr>
        <w:keepNext w:val="0"/>
        <w:keepLines w:val="0"/>
        <w:pageBreakBefore w:val="0"/>
        <w:tabs>
          <w:tab w:val="left" w:pos="900"/>
        </w:tabs>
        <w:kinsoku/>
        <w:wordWrap/>
        <w:overflowPunct/>
        <w:topLinePunct w:val="0"/>
        <w:bidi w:val="0"/>
        <w:spacing w:line="560" w:lineRule="exact"/>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法定代表人证明书</w:t>
      </w:r>
    </w:p>
    <w:p>
      <w:pPr>
        <w:keepNext w:val="0"/>
        <w:keepLines w:val="0"/>
        <w:pageBreakBefore w:val="0"/>
        <w:tabs>
          <w:tab w:val="left" w:pos="900"/>
        </w:tabs>
        <w:kinsoku/>
        <w:wordWrap/>
        <w:overflowPunct/>
        <w:topLinePunct w:val="0"/>
        <w:bidi w:val="0"/>
        <w:spacing w:line="560" w:lineRule="exact"/>
        <w:rPr>
          <w:rFonts w:ascii="仿宋_GB2312" w:eastAsia="仿宋_GB2312"/>
          <w:bCs/>
          <w:color w:val="auto"/>
          <w:sz w:val="24"/>
          <w:highlight w:val="none"/>
        </w:rPr>
      </w:pP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______________</w:t>
      </w:r>
      <w:r>
        <w:rPr>
          <w:rFonts w:hint="eastAsia" w:ascii="宋体" w:hAnsi="宋体" w:eastAsia="宋体" w:cs="宋体"/>
          <w:bCs/>
          <w:color w:val="auto"/>
          <w:sz w:val="24"/>
          <w:szCs w:val="24"/>
          <w:highlight w:val="none"/>
        </w:rPr>
        <w:t>同志，现任我单位职务</w:t>
      </w:r>
      <w:r>
        <w:rPr>
          <w:rFonts w:hint="eastAsia" w:ascii="宋体" w:hAnsi="宋体" w:eastAsia="宋体" w:cs="宋体"/>
          <w:color w:val="auto"/>
          <w:sz w:val="24"/>
          <w:szCs w:val="24"/>
          <w:highlight w:val="none"/>
        </w:rPr>
        <w:t>______________</w:t>
      </w:r>
      <w:r>
        <w:rPr>
          <w:rFonts w:hint="eastAsia" w:ascii="宋体" w:hAnsi="宋体" w:eastAsia="宋体" w:cs="宋体"/>
          <w:bCs/>
          <w:color w:val="auto"/>
          <w:sz w:val="24"/>
          <w:szCs w:val="24"/>
          <w:highlight w:val="none"/>
        </w:rPr>
        <w:t>，为法定代表人</w:t>
      </w:r>
      <w:r>
        <w:rPr>
          <w:rFonts w:hint="eastAsia" w:ascii="宋体" w:hAnsi="宋体" w:eastAsia="宋体" w:cs="宋体"/>
          <w:bCs/>
          <w:color w:val="auto"/>
          <w:sz w:val="24"/>
          <w:szCs w:val="24"/>
          <w:highlight w:val="none"/>
          <w:lang w:val="en-US" w:eastAsia="zh-CN"/>
        </w:rPr>
        <w:t>/负责人</w:t>
      </w:r>
      <w:r>
        <w:rPr>
          <w:rFonts w:hint="eastAsia" w:ascii="宋体" w:hAnsi="宋体" w:eastAsia="宋体" w:cs="宋体"/>
          <w:bCs/>
          <w:color w:val="auto"/>
          <w:sz w:val="24"/>
          <w:szCs w:val="24"/>
          <w:highlight w:val="none"/>
        </w:rPr>
        <w:t>，特此证明。</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有效日期与本公司</w:t>
      </w:r>
      <w:r>
        <w:rPr>
          <w:rFonts w:hint="eastAsia" w:ascii="宋体" w:hAnsi="宋体" w:eastAsia="宋体" w:cs="宋体"/>
          <w:bCs/>
          <w:color w:val="auto"/>
          <w:sz w:val="24"/>
          <w:szCs w:val="24"/>
          <w:highlight w:val="none"/>
          <w:lang w:val="en-US" w:eastAsia="zh-CN"/>
        </w:rPr>
        <w:t>参评</w:t>
      </w:r>
      <w:r>
        <w:rPr>
          <w:rFonts w:hint="eastAsia" w:ascii="宋体" w:hAnsi="宋体" w:eastAsia="宋体" w:cs="宋体"/>
          <w:bCs/>
          <w:color w:val="auto"/>
          <w:sz w:val="24"/>
          <w:szCs w:val="24"/>
          <w:highlight w:val="none"/>
        </w:rPr>
        <w:t>文件中标注的有效期相同。</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color w:val="auto"/>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color w:val="auto"/>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参评供应商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盖</w:t>
      </w:r>
      <w:r>
        <w:rPr>
          <w:rFonts w:hint="eastAsia" w:ascii="宋体" w:hAnsi="宋体" w:eastAsia="宋体" w:cs="宋体"/>
          <w:bCs/>
          <w:color w:val="auto"/>
          <w:sz w:val="24"/>
          <w:szCs w:val="24"/>
          <w:highlight w:val="none"/>
        </w:rPr>
        <w:t>章）：</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签发日期：   年   月    日</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color w:val="auto"/>
          <w:sz w:val="24"/>
          <w:szCs w:val="24"/>
          <w:highlight w:val="none"/>
        </w:rPr>
      </w:pPr>
    </w:p>
    <w:p>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color w:val="auto"/>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59264;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r3az6V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color w:val="auto"/>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color w:val="auto"/>
          <w:sz w:val="24"/>
          <w:highlight w:val="none"/>
        </w:rPr>
      </w:pPr>
    </w:p>
    <w:p>
      <w:pPr>
        <w:keepNext w:val="0"/>
        <w:keepLines w:val="0"/>
        <w:pageBreakBefore w:val="0"/>
        <w:kinsoku/>
        <w:wordWrap/>
        <w:overflowPunct/>
        <w:topLinePunct w:val="0"/>
        <w:bidi w:val="0"/>
        <w:spacing w:line="560" w:lineRule="exact"/>
        <w:rPr>
          <w:rFonts w:ascii="仿宋_GB2312" w:eastAsia="仿宋_GB2312"/>
          <w:bCs/>
          <w:color w:val="auto"/>
          <w:sz w:val="24"/>
          <w:highlight w:val="none"/>
        </w:rPr>
      </w:pPr>
    </w:p>
    <w:p>
      <w:pPr>
        <w:keepNext w:val="0"/>
        <w:keepLines w:val="0"/>
        <w:pageBreakBefore w:val="0"/>
        <w:kinsoku/>
        <w:wordWrap/>
        <w:overflowPunct/>
        <w:topLinePunct w:val="0"/>
        <w:bidi w:val="0"/>
        <w:spacing w:line="560" w:lineRule="exact"/>
        <w:rPr>
          <w:rFonts w:ascii="宋体" w:hAnsi="宋体"/>
          <w:bCs/>
          <w:color w:val="auto"/>
          <w:sz w:val="24"/>
          <w:highlight w:val="none"/>
        </w:rPr>
      </w:pPr>
      <w:r>
        <w:rPr>
          <w:rFonts w:hint="eastAsia" w:ascii="宋体" w:hAnsi="宋体"/>
          <w:bCs/>
          <w:color w:val="auto"/>
          <w:sz w:val="24"/>
          <w:highlight w:val="none"/>
        </w:rPr>
        <w:t xml:space="preserve">                                           </w:t>
      </w:r>
    </w:p>
    <w:p>
      <w:pPr>
        <w:keepNext w:val="0"/>
        <w:keepLines w:val="0"/>
        <w:pageBreakBefore w:val="0"/>
        <w:kinsoku/>
        <w:wordWrap/>
        <w:overflowPunct/>
        <w:topLinePunct w:val="0"/>
        <w:bidi w:val="0"/>
        <w:adjustRightInd w:val="0"/>
        <w:snapToGrid w:val="0"/>
        <w:spacing w:line="560" w:lineRule="exact"/>
        <w:rPr>
          <w:rFonts w:ascii="宋体" w:hAnsi="宋体"/>
          <w:bCs/>
          <w:color w:val="auto"/>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rPr>
      </w:pPr>
    </w:p>
    <w:p>
      <w:pPr>
        <w:pStyle w:val="31"/>
        <w:rPr>
          <w:rFonts w:hint="eastAsia" w:ascii="宋体" w:hAnsi="宋体"/>
          <w:b/>
          <w:bCs/>
          <w:color w:val="auto"/>
          <w:sz w:val="24"/>
          <w:highlight w:val="none"/>
        </w:rPr>
      </w:pPr>
    </w:p>
    <w:p>
      <w:pPr>
        <w:rPr>
          <w:rFonts w:hint="eastAsia" w:ascii="宋体" w:hAnsi="宋体"/>
          <w:b/>
          <w:bCs/>
          <w:color w:val="auto"/>
          <w:sz w:val="24"/>
          <w:highlight w:val="none"/>
        </w:rPr>
      </w:pPr>
    </w:p>
    <w:p>
      <w:pPr>
        <w:pStyle w:val="31"/>
        <w:rPr>
          <w:rFonts w:hint="eastAsia"/>
          <w:color w:val="auto"/>
          <w:highlight w:val="none"/>
        </w:rPr>
      </w:pPr>
    </w:p>
    <w:p>
      <w:pPr>
        <w:rPr>
          <w:rFonts w:hint="eastAsia"/>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格式3 营业执照、资质证明等材料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具有独立承担民事责任能力的在中华人民共和国境内注册的企业法人或其他社会组织，提供营业执照、资质证明等材料（盖章）</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格式4 业绩经验资料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同类项目业绩资料，提供合同等证明文件</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br w:type="page"/>
      </w:r>
      <w:r>
        <w:rPr>
          <w:rFonts w:hint="eastAsia" w:ascii="宋体" w:hAnsi="宋体"/>
          <w:b/>
          <w:bCs/>
          <w:color w:val="auto"/>
          <w:sz w:val="24"/>
          <w:highlight w:val="none"/>
          <w:lang w:val="en-US" w:eastAsia="zh-CN"/>
        </w:rPr>
        <w:t>格式5 考察研究能力资料</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color w:val="auto"/>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rFonts w:hint="default" w:ascii="宋体" w:hAnsi="宋体" w:cs="仿宋_GB2312"/>
          <w:b/>
          <w:color w:val="auto"/>
          <w:sz w:val="44"/>
          <w:szCs w:val="44"/>
          <w:highlight w:val="none"/>
          <w:lang w:val="en-US"/>
        </w:rPr>
      </w:pPr>
      <w:r>
        <w:rPr>
          <w:rFonts w:hint="eastAsia" w:ascii="宋体" w:hAnsi="宋体" w:cs="仿宋_GB2312"/>
          <w:b/>
          <w:color w:val="auto"/>
          <w:sz w:val="44"/>
          <w:szCs w:val="44"/>
          <w:highlight w:val="none"/>
          <w:lang w:val="en-US" w:eastAsia="zh-CN"/>
        </w:rPr>
        <w:t>考察研究能力资料（承接过中山市重大研究课题报告的数量、研究人员的学历情况、参与过中山市经济社会发展课题研究的相关从业经验等），提供相关资料</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color w:val="auto"/>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color w:val="auto"/>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b/>
          <w:bCs/>
          <w:sz w:val="24"/>
          <w:highlight w:val="none"/>
          <w:lang w:val="en-US"/>
        </w:rPr>
      </w:pPr>
      <w:r>
        <w:rPr>
          <w:rFonts w:hint="eastAsia" w:ascii="宋体" w:hAnsi="宋体"/>
          <w:b/>
          <w:bCs/>
          <w:color w:val="auto"/>
          <w:sz w:val="24"/>
          <w:highlight w:val="none"/>
          <w:lang w:val="en-US" w:eastAsia="zh-CN"/>
        </w:rPr>
        <w:br w:type="page"/>
      </w:r>
      <w:r>
        <w:rPr>
          <w:rFonts w:hint="eastAsia" w:ascii="宋体" w:hAnsi="宋体"/>
          <w:b/>
          <w:bCs/>
          <w:sz w:val="24"/>
          <w:highlight w:val="none"/>
          <w:lang w:val="en-US" w:eastAsia="zh-CN"/>
        </w:rPr>
        <w:t>格式6 调研报告框架资料</w:t>
      </w:r>
    </w:p>
    <w:p>
      <w:pPr>
        <w:widowControl w:val="0"/>
        <w:tabs>
          <w:tab w:val="left" w:pos="0"/>
        </w:tabs>
        <w:spacing w:beforeLines="0" w:afterLines="0" w:line="560" w:lineRule="exact"/>
        <w:jc w:val="center"/>
        <w:rPr>
          <w:rFonts w:hint="eastAsia" w:ascii="宋体" w:hAnsi="宋体"/>
          <w:b/>
          <w:color w:val="auto"/>
          <w:sz w:val="44"/>
          <w:szCs w:val="44"/>
          <w:highlight w:val="none"/>
          <w:lang w:val="en-US" w:eastAsia="zh-CN"/>
        </w:rPr>
      </w:pPr>
    </w:p>
    <w:p>
      <w:pPr>
        <w:widowControl w:val="0"/>
        <w:tabs>
          <w:tab w:val="left" w:pos="0"/>
        </w:tabs>
        <w:spacing w:beforeLines="0" w:afterLines="0" w:line="560" w:lineRule="exact"/>
        <w:jc w:val="center"/>
        <w:rPr>
          <w:rFonts w:hint="default" w:hAnsi="宋体" w:eastAsia="宋体" w:cs="宋体"/>
          <w:b/>
          <w:color w:val="auto"/>
          <w:sz w:val="24"/>
          <w:szCs w:val="24"/>
          <w:highlight w:val="none"/>
          <w:lang w:val="en-US" w:eastAsia="zh-CN"/>
        </w:rPr>
      </w:pPr>
      <w:r>
        <w:rPr>
          <w:rFonts w:hint="eastAsia" w:ascii="宋体" w:hAnsi="宋体"/>
          <w:b/>
          <w:color w:val="auto"/>
          <w:sz w:val="44"/>
          <w:szCs w:val="44"/>
          <w:highlight w:val="none"/>
          <w:lang w:val="en-US" w:eastAsia="zh-CN"/>
        </w:rPr>
        <w:t>针对本项目，调研报告框架方案资料</w:t>
      </w:r>
    </w:p>
    <w:p>
      <w:pPr>
        <w:spacing w:line="5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r>
        <w:rPr>
          <w:rFonts w:hint="eastAsia" w:ascii="宋体" w:hAnsi="宋体"/>
          <w:b/>
          <w:bCs/>
          <w:sz w:val="24"/>
          <w:highlight w:val="none"/>
          <w:lang w:val="en-US" w:eastAsia="zh-CN"/>
        </w:rPr>
        <w:br w:type="page"/>
      </w:r>
      <w:r>
        <w:rPr>
          <w:rFonts w:hint="eastAsia" w:ascii="宋体" w:hAnsi="宋体"/>
          <w:b/>
          <w:bCs/>
          <w:sz w:val="24"/>
          <w:highlight w:val="none"/>
          <w:lang w:val="en-US" w:eastAsia="zh-CN"/>
        </w:rPr>
        <w:t>格式7 服务方案资料</w:t>
      </w:r>
    </w:p>
    <w:p>
      <w:pPr>
        <w:pStyle w:val="12"/>
        <w:spacing w:line="560" w:lineRule="exact"/>
        <w:rPr>
          <w:rFonts w:hint="eastAsia"/>
          <w:lang w:val="en-US" w:eastAsia="zh-CN"/>
        </w:rPr>
      </w:pPr>
    </w:p>
    <w:p>
      <w:pPr>
        <w:tabs>
          <w:tab w:val="left" w:pos="900"/>
        </w:tabs>
        <w:spacing w:line="560" w:lineRule="exact"/>
        <w:jc w:val="center"/>
        <w:rPr>
          <w:rFonts w:hint="default" w:ascii="宋体" w:hAnsi="宋体" w:eastAsia="宋体" w:cs="仿宋_GB2312"/>
          <w:b/>
          <w:sz w:val="44"/>
          <w:szCs w:val="44"/>
          <w:highlight w:val="none"/>
          <w:lang w:val="en-US" w:eastAsia="zh-CN"/>
        </w:rPr>
      </w:pPr>
      <w:r>
        <w:rPr>
          <w:rFonts w:hint="eastAsia" w:ascii="宋体" w:hAnsi="宋体"/>
          <w:b/>
          <w:color w:val="auto"/>
          <w:sz w:val="44"/>
          <w:szCs w:val="44"/>
          <w:highlight w:val="none"/>
          <w:lang w:val="en-US" w:eastAsia="zh-CN"/>
        </w:rPr>
        <w:t>针对本</w:t>
      </w:r>
      <w:r>
        <w:rPr>
          <w:rFonts w:hint="eastAsia" w:ascii="宋体" w:hAnsi="宋体" w:eastAsia="宋体" w:cs="仿宋_GB2312"/>
          <w:b/>
          <w:sz w:val="44"/>
          <w:szCs w:val="44"/>
          <w:highlight w:val="none"/>
          <w:lang w:val="en-US" w:eastAsia="zh-CN"/>
        </w:rPr>
        <w:t>项目的服务方案资料</w:t>
      </w:r>
    </w:p>
    <w:p>
      <w:pPr>
        <w:keepNext w:val="0"/>
        <w:keepLines w:val="0"/>
        <w:pageBreakBefore w:val="0"/>
        <w:kinsoku/>
        <w:wordWrap/>
        <w:overflowPunct/>
        <w:topLinePunct w:val="0"/>
        <w:bidi w:val="0"/>
        <w:adjustRightInd w:val="0"/>
        <w:snapToGrid w:val="0"/>
        <w:spacing w:line="560" w:lineRule="exact"/>
        <w:jc w:val="center"/>
        <w:rPr>
          <w:rFonts w:hint="eastAsia" w:ascii="宋体" w:hAnsi="宋体"/>
          <w:b/>
          <w:bCs/>
          <w:sz w:val="24"/>
          <w:highlight w:val="none"/>
          <w:lang w:val="en-US" w:eastAsia="zh-CN"/>
        </w:rPr>
      </w:pPr>
      <w:r>
        <w:rPr>
          <w:rFonts w:hint="eastAsia" w:ascii="宋体" w:hAnsi="宋体" w:eastAsia="宋体" w:cs="仿宋_GB2312"/>
          <w:b/>
          <w:bCs w:val="0"/>
          <w:color w:val="auto"/>
          <w:sz w:val="44"/>
          <w:szCs w:val="44"/>
          <w:highlight w:val="none"/>
          <w:lang w:val="en-US" w:eastAsia="zh-CN"/>
        </w:rPr>
        <w:t>（格式自拟）</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r>
        <w:rPr>
          <w:rFonts w:hint="eastAsia" w:ascii="宋体" w:hAnsi="宋体"/>
          <w:b/>
          <w:bCs/>
          <w:sz w:val="24"/>
          <w:highlight w:val="none"/>
          <w:lang w:val="en-US" w:eastAsia="zh-CN"/>
        </w:rPr>
        <w:t>格式8 报价表</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sz w:val="44"/>
          <w:szCs w:val="44"/>
          <w:highlight w:val="none"/>
        </w:rPr>
      </w:pPr>
      <w:r>
        <w:rPr>
          <w:rFonts w:hint="eastAsia" w:ascii="宋体" w:hAnsi="宋体" w:cs="仿宋_GB2312"/>
          <w:b/>
          <w:sz w:val="44"/>
          <w:szCs w:val="44"/>
          <w:highlight w:val="none"/>
        </w:rPr>
        <w:t>报价表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color w:val="auto"/>
          <w:spacing w:val="-11"/>
          <w:sz w:val="24"/>
          <w:szCs w:val="24"/>
          <w:highlight w:val="none"/>
          <w:lang w:val="en-US" w:eastAsia="zh-CN"/>
        </w:rPr>
      </w:pPr>
      <w:r>
        <w:rPr>
          <w:rFonts w:hint="eastAsia" w:ascii="宋体" w:hAnsi="宋体" w:eastAsia="宋体" w:cs="宋体"/>
          <w:b/>
          <w:bCs/>
          <w:spacing w:val="-11"/>
          <w:sz w:val="24"/>
          <w:szCs w:val="24"/>
          <w:highlight w:val="none"/>
          <w:lang w:val="en-US" w:eastAsia="zh-CN"/>
        </w:rPr>
        <w:t>项目名称：中山市公共交通运输集团有限公司公交财政补贴政策研究咨询报告等服务采购项目</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Cs/>
                <w:sz w:val="24"/>
                <w:highlight w:val="none"/>
                <w:vertAlign w:val="baseline"/>
                <w:lang w:val="en-US" w:eastAsia="zh-CN"/>
              </w:rPr>
            </w:pPr>
            <w:r>
              <w:rPr>
                <w:rFonts w:hint="eastAsia" w:ascii="宋体" w:hAnsi="宋体"/>
                <w:bCs/>
                <w:sz w:val="24"/>
                <w:highlight w:val="none"/>
                <w:vertAlign w:val="baseline"/>
                <w:lang w:val="en-US" w:eastAsia="zh-CN"/>
              </w:rPr>
              <w:t>序号</w:t>
            </w:r>
          </w:p>
        </w:tc>
        <w:tc>
          <w:tcPr>
            <w:tcW w:w="81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Cs/>
                <w:sz w:val="24"/>
                <w:highlight w:val="none"/>
                <w:vertAlign w:val="baseline"/>
                <w:lang w:val="en-US" w:eastAsia="zh-CN"/>
              </w:rPr>
            </w:pPr>
            <w:r>
              <w:rPr>
                <w:rFonts w:hint="eastAsia" w:ascii="宋体" w:hAnsi="宋体"/>
                <w:bCs/>
                <w:sz w:val="24"/>
                <w:highlight w:val="none"/>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top"/>
          </w:tcPr>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rPr>
                <w:rFonts w:hint="eastAsia" w:ascii="宋体" w:hAnsi="宋体" w:eastAsia="宋体"/>
                <w:bCs/>
                <w:sz w:val="24"/>
                <w:highlight w:val="none"/>
                <w:vertAlign w:val="baseline"/>
                <w:lang w:val="en-US" w:eastAsia="zh-CN"/>
              </w:rPr>
            </w:pPr>
            <w:r>
              <w:rPr>
                <w:rFonts w:hint="eastAsia" w:ascii="宋体" w:hAnsi="宋体"/>
                <w:bCs/>
                <w:sz w:val="24"/>
                <w:highlight w:val="none"/>
                <w:vertAlign w:val="baseline"/>
                <w:lang w:val="en-US" w:eastAsia="zh-CN"/>
              </w:rPr>
              <w:t>1</w:t>
            </w:r>
          </w:p>
        </w:tc>
        <w:tc>
          <w:tcPr>
            <w:tcW w:w="816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bCs/>
                <w:sz w:val="24"/>
                <w:highlight w:val="none"/>
                <w:vertAlign w:val="baseline"/>
              </w:rPr>
            </w:pPr>
            <w:r>
              <w:rPr>
                <w:rFonts w:hint="eastAsia" w:ascii="宋体" w:hAnsi="宋体"/>
                <w:bCs/>
                <w:sz w:val="24"/>
                <w:highlight w:val="none"/>
                <w:vertAlign w:val="baseline"/>
              </w:rPr>
              <w:t>调研珠三角各城市公交企业及财政补贴方向、模式及现状，比较分析各地补贴政策的优势、劣势，结合近期国内公交出现形势，研究提出中山修订完善成本规制政策的建议，攥写1份研究报告，相应形成1份资政报告，为中山公交发展提供决策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Cs/>
                <w:sz w:val="24"/>
                <w:highlight w:val="none"/>
                <w:vertAlign w:val="baseline"/>
                <w:lang w:val="en-US" w:eastAsia="zh-CN"/>
              </w:rPr>
            </w:pPr>
            <w:r>
              <w:rPr>
                <w:rFonts w:hint="eastAsia" w:ascii="宋体" w:hAnsi="宋体"/>
                <w:bCs/>
                <w:sz w:val="24"/>
                <w:highlight w:val="none"/>
                <w:vertAlign w:val="baseline"/>
                <w:lang w:val="en-US" w:eastAsia="zh-CN"/>
              </w:rPr>
              <w:t>2</w:t>
            </w:r>
          </w:p>
        </w:tc>
        <w:tc>
          <w:tcPr>
            <w:tcW w:w="81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bCs/>
                <w:sz w:val="24"/>
                <w:highlight w:val="none"/>
                <w:vertAlign w:val="baseline"/>
              </w:rPr>
            </w:pPr>
            <w:r>
              <w:rPr>
                <w:rFonts w:hint="eastAsia" w:ascii="宋体" w:hAnsi="宋体"/>
                <w:bCs/>
                <w:sz w:val="24"/>
                <w:highlight w:val="none"/>
                <w:vertAlign w:val="baseline"/>
              </w:rPr>
              <w:t>协助修改报送有关单位报告2篇。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Cs/>
                <w:sz w:val="24"/>
                <w:highlight w:val="none"/>
                <w:vertAlign w:val="baseline"/>
                <w:lang w:val="en-US" w:eastAsia="zh-CN"/>
              </w:rPr>
            </w:pPr>
            <w:r>
              <w:rPr>
                <w:rFonts w:hint="eastAsia" w:ascii="宋体" w:hAnsi="宋体"/>
                <w:bCs/>
                <w:sz w:val="24"/>
                <w:highlight w:val="none"/>
                <w:vertAlign w:val="baseline"/>
                <w:lang w:val="en-US" w:eastAsia="zh-CN"/>
              </w:rPr>
              <w:t>3</w:t>
            </w:r>
          </w:p>
        </w:tc>
        <w:tc>
          <w:tcPr>
            <w:tcW w:w="81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bCs/>
                <w:sz w:val="24"/>
                <w:highlight w:val="none"/>
                <w:vertAlign w:val="baseline"/>
              </w:rPr>
            </w:pPr>
            <w:r>
              <w:rPr>
                <w:rFonts w:hint="eastAsia" w:ascii="宋体" w:hAnsi="宋体"/>
                <w:bCs/>
                <w:sz w:val="24"/>
                <w:highlight w:val="none"/>
                <w:vertAlign w:val="baseline"/>
              </w:rPr>
              <w:t>协助起草5份公交宣传策划活动方案。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Cs/>
                <w:sz w:val="24"/>
                <w:highlight w:val="none"/>
                <w:vertAlign w:val="baseline"/>
                <w:lang w:val="en-US" w:eastAsia="zh-CN"/>
              </w:rPr>
            </w:pPr>
            <w:r>
              <w:rPr>
                <w:rFonts w:hint="eastAsia" w:ascii="宋体" w:hAnsi="宋体"/>
                <w:bCs/>
                <w:sz w:val="24"/>
                <w:highlight w:val="none"/>
                <w:vertAlign w:val="baseline"/>
                <w:lang w:val="en-US" w:eastAsia="zh-CN"/>
              </w:rPr>
              <w:t>4</w:t>
            </w:r>
          </w:p>
        </w:tc>
        <w:tc>
          <w:tcPr>
            <w:tcW w:w="8163"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bCs/>
                <w:sz w:val="24"/>
                <w:highlight w:val="none"/>
                <w:vertAlign w:val="baseline"/>
              </w:rPr>
            </w:pPr>
            <w:r>
              <w:rPr>
                <w:rFonts w:hint="eastAsia" w:ascii="宋体" w:hAnsi="宋体"/>
                <w:bCs/>
                <w:sz w:val="24"/>
                <w:highlight w:val="none"/>
                <w:vertAlign w:val="baseline"/>
              </w:rPr>
              <w:t>协助向中山+等市内主流媒体推送相关新闻报道2篇。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6"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宋体" w:hAnsi="宋体"/>
                <w:bCs/>
                <w:sz w:val="24"/>
                <w:highlight w:val="none"/>
                <w:vertAlign w:val="baseline"/>
                <w:lang w:val="en-US" w:eastAsia="zh-CN"/>
              </w:rPr>
            </w:pPr>
            <w:r>
              <w:rPr>
                <w:rFonts w:hint="eastAsia" w:ascii="宋体" w:hAnsi="宋体"/>
                <w:bCs/>
                <w:sz w:val="24"/>
                <w:highlight w:val="none"/>
                <w:vertAlign w:val="baseline"/>
                <w:lang w:val="en-US" w:eastAsia="zh-CN"/>
              </w:rPr>
              <w:t>报价（含税）：人民币           元</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pPr>
        <w:numPr>
          <w:ilvl w:val="0"/>
          <w:numId w:val="0"/>
        </w:numPr>
        <w:adjustRightInd w:val="0"/>
        <w:snapToGrid w:val="0"/>
        <w:spacing w:line="56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1.以上价格包含</w:t>
      </w:r>
      <w:r>
        <w:rPr>
          <w:rFonts w:hint="eastAsia" w:ascii="宋体" w:hAnsi="宋体" w:eastAsia="宋体" w:cs="宋体"/>
          <w:color w:val="auto"/>
          <w:sz w:val="24"/>
          <w:szCs w:val="24"/>
          <w:highlight w:val="none"/>
          <w:lang w:val="en-US" w:eastAsia="zh-CN"/>
        </w:rPr>
        <w:t>供应商完成上述项目的所需的调研费、报告费、印刷费、包装费、差旅费、售后服务费等一切费用。未经采购人书面同意，供应商不得向采购人额外收取其他费用</w:t>
      </w:r>
      <w:r>
        <w:rPr>
          <w:rFonts w:hint="eastAsia" w:ascii="宋体" w:hAnsi="宋体" w:eastAsia="宋体" w:cs="宋体"/>
          <w:bCs/>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2.所有价格均以人民币作为货币单位填写及计算。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3.报价自报名</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日后</w:t>
      </w:r>
      <w:r>
        <w:rPr>
          <w:rFonts w:hint="eastAsia" w:ascii="宋体" w:hAnsi="宋体" w:eastAsia="宋体" w:cs="宋体"/>
          <w:bCs/>
          <w:sz w:val="24"/>
          <w:szCs w:val="24"/>
          <w:highlight w:val="none"/>
          <w:lang w:val="en-US" w:eastAsia="zh-CN"/>
        </w:rPr>
        <w:t>90</w:t>
      </w:r>
      <w:r>
        <w:rPr>
          <w:rFonts w:hint="eastAsia" w:ascii="宋体" w:hAnsi="宋体" w:eastAsia="宋体" w:cs="宋体"/>
          <w:bCs/>
          <w:sz w:val="24"/>
          <w:szCs w:val="24"/>
          <w:highlight w:val="none"/>
        </w:rPr>
        <w:t>天内有效。</w:t>
      </w:r>
    </w:p>
    <w:p>
      <w:pPr>
        <w:keepNext w:val="0"/>
        <w:keepLines w:val="0"/>
        <w:pageBreakBefore w:val="0"/>
        <w:kinsoku/>
        <w:wordWrap/>
        <w:overflowPunct/>
        <w:topLinePunct w:val="0"/>
        <w:bidi w:val="0"/>
        <w:adjustRightInd w:val="0"/>
        <w:snapToGrid w:val="0"/>
        <w:spacing w:line="560" w:lineRule="exact"/>
        <w:ind w:firstLine="0" w:firstLineChars="0"/>
        <w:rPr>
          <w:rFonts w:hint="eastAsia" w:ascii="宋体" w:hAnsi="宋体"/>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ind w:firstLine="0" w:firstLineChars="0"/>
        <w:jc w:val="both"/>
        <w:rPr>
          <w:rFonts w:ascii="宋体" w:hAnsi="宋体"/>
          <w:bCs/>
          <w:sz w:val="24"/>
          <w:highlight w:val="none"/>
        </w:rPr>
      </w:pPr>
      <w:r>
        <w:rPr>
          <w:rFonts w:hint="eastAsia" w:ascii="宋体" w:hAnsi="宋体"/>
          <w:bCs/>
          <w:sz w:val="24"/>
          <w:highlight w:val="none"/>
          <w:lang w:val="en-US" w:eastAsia="zh-CN"/>
        </w:rPr>
        <w:t>参评供应商</w:t>
      </w:r>
      <w:r>
        <w:rPr>
          <w:rFonts w:hint="eastAsia" w:ascii="宋体" w:hAnsi="宋体"/>
          <w:bCs/>
          <w:sz w:val="24"/>
          <w:highlight w:val="none"/>
        </w:rPr>
        <w:t>（</w:t>
      </w:r>
      <w:r>
        <w:rPr>
          <w:rFonts w:hint="eastAsia" w:ascii="宋体" w:hAnsi="宋体"/>
          <w:bCs/>
          <w:sz w:val="24"/>
          <w:highlight w:val="none"/>
          <w:lang w:val="en-US" w:eastAsia="zh-CN"/>
        </w:rPr>
        <w:t>盖</w:t>
      </w:r>
      <w:r>
        <w:rPr>
          <w:rFonts w:hint="eastAsia" w:ascii="宋体" w:hAnsi="宋体"/>
          <w:bCs/>
          <w:sz w:val="24"/>
          <w:highlight w:val="none"/>
        </w:rPr>
        <w:t xml:space="preserve">章）：         </w:t>
      </w:r>
    </w:p>
    <w:p>
      <w:pPr>
        <w:adjustRightInd w:val="0"/>
        <w:snapToGrid w:val="0"/>
        <w:spacing w:line="560" w:lineRule="exact"/>
        <w:ind w:firstLine="0" w:firstLineChars="0"/>
        <w:jc w:val="both"/>
        <w:rPr>
          <w:rFonts w:hint="eastAsia" w:ascii="宋体" w:hAnsi="宋体"/>
          <w:bCs/>
          <w:sz w:val="24"/>
          <w:highlight w:val="none"/>
        </w:rPr>
      </w:pPr>
      <w:r>
        <w:rPr>
          <w:rFonts w:hint="eastAsia" w:ascii="宋体" w:hAnsi="宋体"/>
          <w:bCs/>
          <w:sz w:val="24"/>
          <w:highlight w:val="none"/>
        </w:rPr>
        <w:t>日期：</w:t>
      </w:r>
    </w:p>
    <w:p>
      <w:pPr>
        <w:adjustRightInd w:val="0"/>
        <w:snapToGrid w:val="0"/>
        <w:spacing w:line="560" w:lineRule="exact"/>
        <w:ind w:firstLine="0" w:firstLineChars="0"/>
        <w:rPr>
          <w:rFonts w:hint="eastAsia" w:ascii="宋体" w:hAnsi="宋体"/>
          <w:bCs/>
          <w:sz w:val="24"/>
          <w:highlight w:val="none"/>
          <w:lang w:val="en-US" w:eastAsia="zh-CN"/>
        </w:rPr>
      </w:pPr>
    </w:p>
    <w:p>
      <w:bookmarkStart w:id="5" w:name="_GoBack"/>
      <w:bookmarkEnd w:id="5"/>
      <w:r>
        <w:rPr>
          <w:rFonts w:hint="eastAsia" w:ascii="宋体" w:hAnsi="宋体"/>
          <w:b/>
          <w:bCs/>
          <w:sz w:val="24"/>
          <w:highlight w:val="none"/>
          <w:lang w:val="en-US" w:eastAsia="zh-CN"/>
        </w:rPr>
        <w:br w:type="page"/>
      </w:r>
      <w:r>
        <w:rPr>
          <w:rFonts w:hint="eastAsia" w:ascii="宋体" w:hAnsi="宋体"/>
          <w:b/>
          <w:bCs/>
          <w:sz w:val="24"/>
          <w:highlight w:val="none"/>
          <w:lang w:val="en-US" w:eastAsia="zh-CN"/>
        </w:rPr>
        <w:t>格式9 需求响应表</w:t>
      </w:r>
    </w:p>
    <w:p>
      <w:pPr>
        <w:spacing w:line="560" w:lineRule="exact"/>
        <w:rPr>
          <w:rFonts w:hint="eastAsia"/>
          <w:lang w:val="en-US" w:eastAsia="zh-CN"/>
        </w:rPr>
      </w:pPr>
    </w:p>
    <w:p>
      <w:pPr>
        <w:jc w:val="center"/>
        <w:rPr>
          <w:rFonts w:hint="eastAsia"/>
          <w:sz w:val="44"/>
          <w:szCs w:val="44"/>
          <w:lang w:val="en-US" w:eastAsia="zh-CN"/>
        </w:rPr>
      </w:pPr>
      <w:r>
        <w:rPr>
          <w:rFonts w:hint="eastAsia" w:ascii="宋体" w:hAnsi="宋体" w:eastAsia="宋体" w:cs="仿宋_GB2312"/>
          <w:b/>
          <w:sz w:val="44"/>
          <w:szCs w:val="44"/>
          <w:highlight w:val="none"/>
          <w:lang w:val="en-US" w:eastAsia="zh-CN"/>
        </w:rPr>
        <w:t>需求响应表</w:t>
      </w:r>
    </w:p>
    <w:p>
      <w:pPr>
        <w:adjustRightInd w:val="0"/>
        <w:snapToGrid w:val="0"/>
        <w:spacing w:line="560" w:lineRule="exact"/>
        <w:jc w:val="left"/>
        <w:rPr>
          <w:rFonts w:hint="eastAsia" w:ascii="宋体" w:hAnsi="宋体" w:eastAsia="宋体" w:cs="宋体"/>
          <w:b/>
          <w:bCs/>
          <w:sz w:val="24"/>
          <w:szCs w:val="24"/>
          <w:highlight w:val="none"/>
          <w:lang w:val="en-US" w:eastAsia="zh-CN"/>
        </w:rPr>
      </w:pPr>
    </w:p>
    <w:p>
      <w:pPr>
        <w:adjustRightInd w:val="0"/>
        <w:snapToGrid w:val="0"/>
        <w:spacing w:line="560" w:lineRule="exact"/>
        <w:jc w:val="left"/>
        <w:rPr>
          <w:rFonts w:hint="eastAsia"/>
          <w:spacing w:val="-11"/>
          <w:sz w:val="44"/>
          <w:szCs w:val="44"/>
          <w:lang w:val="en-US" w:eastAsia="zh-CN"/>
        </w:rPr>
      </w:pPr>
      <w:r>
        <w:rPr>
          <w:rFonts w:hint="eastAsia" w:ascii="宋体" w:hAnsi="宋体" w:eastAsia="宋体" w:cs="宋体"/>
          <w:b/>
          <w:bCs/>
          <w:spacing w:val="-11"/>
          <w:sz w:val="24"/>
          <w:szCs w:val="24"/>
          <w:highlight w:val="none"/>
          <w:lang w:val="en-US" w:eastAsia="zh-CN"/>
        </w:rPr>
        <w:t>项目名称：中山市公共交通运输集团有限公司公交财政补贴政策研究咨询报告等服务采购项目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noWrap w:val="0"/>
            <w:vAlign w:val="center"/>
          </w:tcPr>
          <w:p>
            <w:pPr>
              <w:jc w:val="center"/>
              <w:rPr>
                <w:rFonts w:hint="eastAsia" w:ascii="宋体" w:hAnsi="宋体"/>
                <w:b/>
                <w:szCs w:val="21"/>
              </w:rPr>
            </w:pPr>
            <w:r>
              <w:rPr>
                <w:rFonts w:hint="eastAsia" w:ascii="宋体" w:hAnsi="宋体"/>
                <w:b/>
                <w:szCs w:val="21"/>
              </w:rPr>
              <w:t>序号</w:t>
            </w:r>
          </w:p>
        </w:tc>
        <w:tc>
          <w:tcPr>
            <w:tcW w:w="4945" w:type="dxa"/>
            <w:noWrap w:val="0"/>
            <w:vAlign w:val="center"/>
          </w:tcPr>
          <w:p>
            <w:pPr>
              <w:jc w:val="center"/>
              <w:rPr>
                <w:rFonts w:hint="eastAsia" w:ascii="宋体" w:hAnsi="宋体"/>
                <w:b/>
                <w:szCs w:val="21"/>
              </w:rPr>
            </w:pPr>
            <w:r>
              <w:rPr>
                <w:rFonts w:hint="eastAsia" w:ascii="宋体" w:hAnsi="宋体"/>
                <w:b/>
                <w:szCs w:val="21"/>
              </w:rPr>
              <w:t>条款要求</w:t>
            </w:r>
          </w:p>
        </w:tc>
        <w:tc>
          <w:tcPr>
            <w:tcW w:w="1642" w:type="dxa"/>
            <w:noWrap w:val="0"/>
            <w:vAlign w:val="center"/>
          </w:tcPr>
          <w:p>
            <w:pPr>
              <w:jc w:val="center"/>
              <w:rPr>
                <w:rFonts w:hint="default" w:ascii="宋体" w:hAnsi="宋体" w:eastAsia="宋体"/>
                <w:b/>
                <w:szCs w:val="21"/>
                <w:lang w:val="en-US" w:eastAsia="zh-CN"/>
              </w:rPr>
            </w:pPr>
            <w:r>
              <w:rPr>
                <w:rFonts w:hint="eastAsia" w:ascii="宋体" w:hAnsi="宋体"/>
                <w:b/>
                <w:szCs w:val="21"/>
                <w:lang w:val="en-US" w:eastAsia="zh-CN"/>
              </w:rPr>
              <w:t>响应情况</w:t>
            </w:r>
          </w:p>
        </w:tc>
        <w:tc>
          <w:tcPr>
            <w:tcW w:w="1769" w:type="dxa"/>
            <w:noWrap w:val="0"/>
            <w:vAlign w:val="center"/>
          </w:tcPr>
          <w:p>
            <w:pPr>
              <w:jc w:val="center"/>
              <w:rPr>
                <w:rFonts w:hint="eastAsia" w:ascii="宋体" w:hAnsi="宋体"/>
                <w:b/>
                <w:szCs w:val="21"/>
              </w:rPr>
            </w:pPr>
            <w:r>
              <w:rPr>
                <w:rFonts w:hint="eastAsia" w:ascii="宋体" w:hAnsi="宋体"/>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1</w:t>
            </w:r>
          </w:p>
        </w:tc>
        <w:tc>
          <w:tcPr>
            <w:tcW w:w="4945" w:type="dxa"/>
            <w:noWrap w:val="0"/>
            <w:vAlign w:val="center"/>
          </w:tcPr>
          <w:p>
            <w:pPr>
              <w:wordWrap w:val="0"/>
              <w:rPr>
                <w:rFonts w:hint="eastAsia" w:ascii="宋体" w:hAnsi="宋体" w:eastAsia="宋体"/>
                <w:szCs w:val="21"/>
                <w:lang w:eastAsia="zh-CN"/>
              </w:rPr>
            </w:pPr>
            <w:r>
              <w:rPr>
                <w:rFonts w:hint="eastAsia" w:ascii="宋体" w:hAnsi="宋体"/>
                <w:szCs w:val="21"/>
              </w:rPr>
              <w:t>完全理解并接受</w:t>
            </w:r>
            <w:r>
              <w:rPr>
                <w:rFonts w:hint="eastAsia" w:ascii="宋体" w:hAnsi="宋体"/>
                <w:szCs w:val="21"/>
                <w:lang w:eastAsia="zh-CN"/>
              </w:rPr>
              <w:t>评选文件</w:t>
            </w:r>
            <w:r>
              <w:rPr>
                <w:rFonts w:hint="eastAsia" w:ascii="宋体" w:hAnsi="宋体"/>
                <w:szCs w:val="21"/>
                <w:lang w:val="en-GB"/>
              </w:rPr>
              <w:t>所列</w:t>
            </w:r>
            <w:r>
              <w:rPr>
                <w:rFonts w:hint="eastAsia" w:ascii="宋体" w:hAnsi="宋体"/>
                <w:szCs w:val="21"/>
              </w:rPr>
              <w:t>条款的要求</w:t>
            </w:r>
            <w:r>
              <w:rPr>
                <w:rFonts w:hint="eastAsia" w:ascii="宋体" w:hAnsi="宋体"/>
                <w:szCs w:val="21"/>
                <w:lang w:eastAsia="zh-CN"/>
              </w:rPr>
              <w:t>。</w:t>
            </w:r>
          </w:p>
        </w:tc>
        <w:tc>
          <w:tcPr>
            <w:tcW w:w="1642" w:type="dxa"/>
            <w:noWrap w:val="0"/>
            <w:vAlign w:val="center"/>
          </w:tcPr>
          <w:p>
            <w:pPr>
              <w:pStyle w:val="63"/>
              <w:keepNext w:val="0"/>
              <w:adjustRightInd/>
              <w:spacing w:before="0" w:after="0" w:line="240" w:lineRule="auto"/>
              <w:textAlignment w:val="auto"/>
              <w:rPr>
                <w:rFonts w:hint="eastAsia" w:ascii="Times New Roman" w:hAnsi="Times New Roman" w:eastAsia="宋体" w:cs="Times New Roman"/>
                <w:snapToGrid/>
                <w:spacing w:val="0"/>
                <w:kern w:val="2"/>
                <w:sz w:val="21"/>
                <w:szCs w:val="24"/>
              </w:rPr>
            </w:pPr>
            <w:r>
              <w:rPr>
                <w:rFonts w:hint="eastAsia" w:ascii="Times New Roman" w:hAnsi="Times New Roman" w:eastAsia="宋体" w:cs="Times New Roman"/>
                <w:snapToGrid/>
                <w:spacing w:val="0"/>
                <w:kern w:val="2"/>
                <w:sz w:val="21"/>
                <w:szCs w:val="24"/>
              </w:rPr>
              <w:t>□完全响应  □部分响应</w:t>
            </w:r>
          </w:p>
        </w:tc>
        <w:tc>
          <w:tcPr>
            <w:tcW w:w="176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2</w:t>
            </w:r>
          </w:p>
        </w:tc>
        <w:tc>
          <w:tcPr>
            <w:tcW w:w="4945" w:type="dxa"/>
            <w:noWrap w:val="0"/>
            <w:vAlign w:val="center"/>
          </w:tcPr>
          <w:p>
            <w:pPr>
              <w:wordWrap w:val="0"/>
              <w:rPr>
                <w:rFonts w:hint="default" w:ascii="宋体" w:hAnsi="宋体" w:eastAsia="宋体"/>
                <w:szCs w:val="21"/>
                <w:lang w:val="en-US" w:eastAsia="zh-CN"/>
              </w:rPr>
            </w:pPr>
            <w:r>
              <w:rPr>
                <w:rFonts w:hint="eastAsia" w:ascii="宋体" w:hAnsi="宋体"/>
                <w:szCs w:val="21"/>
                <w:lang w:val="en-US" w:eastAsia="zh-CN"/>
              </w:rPr>
              <w:t>完全理解供应商资质要求。</w:t>
            </w:r>
          </w:p>
        </w:tc>
        <w:tc>
          <w:tcPr>
            <w:tcW w:w="1642" w:type="dxa"/>
            <w:noWrap w:val="0"/>
            <w:vAlign w:val="center"/>
          </w:tcPr>
          <w:p>
            <w:pPr>
              <w:pStyle w:val="63"/>
              <w:keepNext w:val="0"/>
              <w:adjustRightInd/>
              <w:spacing w:before="0" w:after="0" w:line="240" w:lineRule="auto"/>
              <w:textAlignment w:val="auto"/>
              <w:rPr>
                <w:rFonts w:hint="eastAsia" w:ascii="Times New Roman" w:hAnsi="Times New Roman" w:eastAsia="宋体" w:cs="Times New Roman"/>
                <w:snapToGrid/>
                <w:spacing w:val="0"/>
                <w:kern w:val="2"/>
                <w:sz w:val="21"/>
                <w:szCs w:val="24"/>
              </w:rPr>
            </w:pPr>
            <w:r>
              <w:rPr>
                <w:rFonts w:hint="eastAsia" w:ascii="Times New Roman" w:hAnsi="Times New Roman" w:eastAsia="宋体" w:cs="Times New Roman"/>
                <w:snapToGrid/>
                <w:spacing w:val="0"/>
                <w:kern w:val="2"/>
                <w:sz w:val="21"/>
                <w:szCs w:val="24"/>
              </w:rPr>
              <w:t>□完全响应  □部分响应</w:t>
            </w:r>
          </w:p>
        </w:tc>
        <w:tc>
          <w:tcPr>
            <w:tcW w:w="176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3</w:t>
            </w:r>
          </w:p>
        </w:tc>
        <w:tc>
          <w:tcPr>
            <w:tcW w:w="4945" w:type="dxa"/>
            <w:noWrap w:val="0"/>
            <w:vAlign w:val="center"/>
          </w:tcPr>
          <w:p>
            <w:pPr>
              <w:wordWrap w:val="0"/>
              <w:rPr>
                <w:rFonts w:hint="eastAsia" w:ascii="宋体" w:hAnsi="宋体"/>
                <w:szCs w:val="21"/>
              </w:rPr>
            </w:pPr>
            <w:r>
              <w:rPr>
                <w:rFonts w:hint="eastAsia" w:ascii="宋体" w:hAnsi="宋体"/>
                <w:szCs w:val="21"/>
              </w:rPr>
              <w:t>完全理解并接受对</w:t>
            </w:r>
            <w:r>
              <w:rPr>
                <w:rFonts w:hint="eastAsia" w:ascii="宋体" w:hAnsi="宋体"/>
                <w:szCs w:val="21"/>
                <w:lang w:eastAsia="zh-CN"/>
              </w:rPr>
              <w:t>参评供应商</w:t>
            </w:r>
            <w:r>
              <w:rPr>
                <w:rFonts w:hint="eastAsia" w:ascii="宋体" w:hAnsi="宋体"/>
                <w:szCs w:val="21"/>
              </w:rPr>
              <w:t>的各项须知、规约要求和责任义务。</w:t>
            </w:r>
          </w:p>
        </w:tc>
        <w:tc>
          <w:tcPr>
            <w:tcW w:w="1642" w:type="dxa"/>
            <w:noWrap w:val="0"/>
            <w:vAlign w:val="center"/>
          </w:tcPr>
          <w:p>
            <w:pPr>
              <w:jc w:val="center"/>
              <w:rPr>
                <w:rFonts w:hint="eastAsia" w:ascii="宋体" w:hAnsi="宋体"/>
                <w:szCs w:val="21"/>
              </w:rPr>
            </w:pPr>
            <w:r>
              <w:rPr>
                <w:rFonts w:hint="eastAsia"/>
              </w:rPr>
              <w:t xml:space="preserve">□完全响应  </w:t>
            </w:r>
            <w:r>
              <w:rPr>
                <w:rFonts w:hint="eastAsia" w:ascii="Times New Roman" w:hAnsi="Times New Roman" w:eastAsia="宋体" w:cs="Times New Roman"/>
              </w:rPr>
              <w:t>□部分响应</w:t>
            </w:r>
          </w:p>
        </w:tc>
        <w:tc>
          <w:tcPr>
            <w:tcW w:w="1769" w:type="dxa"/>
            <w:noWrap w:val="0"/>
            <w:vAlign w:val="center"/>
          </w:tcPr>
          <w:p>
            <w:pPr>
              <w:ind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4</w:t>
            </w:r>
          </w:p>
        </w:tc>
        <w:tc>
          <w:tcPr>
            <w:tcW w:w="4945" w:type="dxa"/>
            <w:noWrap w:val="0"/>
            <w:vAlign w:val="center"/>
          </w:tcPr>
          <w:p>
            <w:pPr>
              <w:wordWrap w:val="0"/>
              <w:rPr>
                <w:rFonts w:hint="eastAsia" w:ascii="宋体" w:hAnsi="宋体" w:eastAsia="宋体"/>
                <w:szCs w:val="21"/>
                <w:lang w:eastAsia="zh-CN"/>
              </w:rPr>
            </w:pPr>
            <w:r>
              <w:rPr>
                <w:rFonts w:hint="eastAsia" w:ascii="宋体" w:hAnsi="宋体"/>
                <w:szCs w:val="21"/>
                <w:lang w:eastAsia="zh-CN"/>
              </w:rPr>
              <w:t>用户需求书关于</w:t>
            </w:r>
            <w:r>
              <w:rPr>
                <w:rFonts w:hint="eastAsia" w:ascii="宋体" w:hAnsi="宋体"/>
                <w:szCs w:val="21"/>
                <w:lang w:val="en-US" w:eastAsia="zh-CN"/>
              </w:rPr>
              <w:t>采购服务</w:t>
            </w:r>
            <w:r>
              <w:rPr>
                <w:rFonts w:hint="eastAsia" w:ascii="宋体" w:hAnsi="宋体"/>
                <w:szCs w:val="21"/>
                <w:lang w:eastAsia="zh-CN"/>
              </w:rPr>
              <w:t>要求。</w:t>
            </w:r>
          </w:p>
        </w:tc>
        <w:tc>
          <w:tcPr>
            <w:tcW w:w="1642" w:type="dxa"/>
            <w:noWrap w:val="0"/>
            <w:vAlign w:val="center"/>
          </w:tcPr>
          <w:p>
            <w:pPr>
              <w:jc w:val="center"/>
              <w:rPr>
                <w:rFonts w:hint="eastAsia" w:ascii="宋体" w:hAnsi="宋体"/>
                <w:szCs w:val="21"/>
              </w:rPr>
            </w:pPr>
            <w:r>
              <w:rPr>
                <w:rFonts w:hint="eastAsia"/>
              </w:rPr>
              <w:t xml:space="preserve">□完全响应  </w:t>
            </w:r>
            <w:r>
              <w:rPr>
                <w:rFonts w:hint="eastAsia" w:ascii="Times New Roman" w:hAnsi="Times New Roman" w:eastAsia="宋体" w:cs="Times New Roman"/>
              </w:rPr>
              <w:t>□部分响应</w:t>
            </w:r>
          </w:p>
        </w:tc>
        <w:tc>
          <w:tcPr>
            <w:tcW w:w="1769" w:type="dxa"/>
            <w:noWrap w:val="0"/>
            <w:vAlign w:val="center"/>
          </w:tcPr>
          <w:p>
            <w:pPr>
              <w:ind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5</w:t>
            </w:r>
          </w:p>
        </w:tc>
        <w:tc>
          <w:tcPr>
            <w:tcW w:w="4945" w:type="dxa"/>
            <w:noWrap w:val="0"/>
            <w:vAlign w:val="center"/>
          </w:tcPr>
          <w:p>
            <w:pPr>
              <w:wordWrap w:val="0"/>
              <w:rPr>
                <w:rFonts w:hint="eastAsia" w:ascii="宋体" w:hAnsi="宋体" w:eastAsia="宋体"/>
                <w:szCs w:val="21"/>
                <w:lang w:eastAsia="zh-CN"/>
              </w:rPr>
            </w:pPr>
            <w:r>
              <w:rPr>
                <w:rFonts w:hint="eastAsia" w:ascii="宋体" w:hAnsi="宋体"/>
                <w:szCs w:val="21"/>
                <w:lang w:eastAsia="zh-CN"/>
              </w:rPr>
              <w:t>关于付款方式</w:t>
            </w:r>
            <w:r>
              <w:rPr>
                <w:rFonts w:hint="eastAsia" w:ascii="宋体" w:hAnsi="宋体"/>
                <w:szCs w:val="21"/>
              </w:rPr>
              <w:t>。</w:t>
            </w:r>
          </w:p>
        </w:tc>
        <w:tc>
          <w:tcPr>
            <w:tcW w:w="1642" w:type="dxa"/>
            <w:noWrap w:val="0"/>
            <w:vAlign w:val="center"/>
          </w:tcPr>
          <w:p>
            <w:pPr>
              <w:jc w:val="center"/>
              <w:rPr>
                <w:rFonts w:hint="eastAsia" w:ascii="宋体" w:hAnsi="宋体"/>
                <w:szCs w:val="21"/>
              </w:rPr>
            </w:pPr>
            <w:r>
              <w:rPr>
                <w:rFonts w:hint="eastAsia"/>
              </w:rPr>
              <w:t xml:space="preserve">□完全响应  </w:t>
            </w:r>
            <w:r>
              <w:rPr>
                <w:rFonts w:hint="eastAsia" w:ascii="Times New Roman" w:hAnsi="Times New Roman" w:eastAsia="宋体" w:cs="Times New Roman"/>
              </w:rPr>
              <w:t>□部分响应</w:t>
            </w:r>
          </w:p>
        </w:tc>
        <w:tc>
          <w:tcPr>
            <w:tcW w:w="1769" w:type="dxa"/>
            <w:noWrap w:val="0"/>
            <w:vAlign w:val="center"/>
          </w:tcPr>
          <w:p>
            <w:pPr>
              <w:pStyle w:val="63"/>
              <w:keepNext w:val="0"/>
              <w:adjustRightInd/>
              <w:spacing w:before="0" w:after="0" w:line="240" w:lineRule="auto"/>
              <w:textAlignment w:val="auto"/>
              <w:rPr>
                <w:rFonts w:hint="eastAsia" w:ascii="宋体" w:hAnsi="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6</w:t>
            </w:r>
          </w:p>
        </w:tc>
        <w:tc>
          <w:tcPr>
            <w:tcW w:w="4945" w:type="dxa"/>
            <w:noWrap w:val="0"/>
            <w:vAlign w:val="center"/>
          </w:tcPr>
          <w:p>
            <w:pPr>
              <w:wordWrap w:val="0"/>
              <w:rPr>
                <w:rFonts w:hint="eastAsia" w:ascii="宋体" w:hAnsi="宋体"/>
                <w:szCs w:val="21"/>
              </w:rPr>
            </w:pPr>
            <w:r>
              <w:rPr>
                <w:rFonts w:hint="eastAsia" w:ascii="宋体" w:hAnsi="宋体"/>
                <w:szCs w:val="21"/>
              </w:rPr>
              <w:t>报价内容均涵盖报价要求之一切费用和伴随服务。</w:t>
            </w:r>
          </w:p>
        </w:tc>
        <w:tc>
          <w:tcPr>
            <w:tcW w:w="1642" w:type="dxa"/>
            <w:noWrap w:val="0"/>
            <w:vAlign w:val="center"/>
          </w:tcPr>
          <w:p>
            <w:pPr>
              <w:jc w:val="center"/>
              <w:rPr>
                <w:rFonts w:hint="eastAsia" w:ascii="宋体" w:hAnsi="宋体"/>
                <w:szCs w:val="21"/>
              </w:rPr>
            </w:pPr>
            <w:r>
              <w:rPr>
                <w:rFonts w:hint="eastAsia"/>
              </w:rPr>
              <w:t xml:space="preserve">□完全响应  </w:t>
            </w:r>
            <w:r>
              <w:rPr>
                <w:rFonts w:hint="eastAsia" w:ascii="Times New Roman" w:hAnsi="Times New Roman" w:eastAsia="宋体" w:cs="Times New Roman"/>
              </w:rPr>
              <w:t>□部分响应</w:t>
            </w:r>
          </w:p>
        </w:tc>
        <w:tc>
          <w:tcPr>
            <w:tcW w:w="176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noWrap w:val="0"/>
            <w:vAlign w:val="center"/>
          </w:tcPr>
          <w:p>
            <w:pPr>
              <w:jc w:val="center"/>
              <w:rPr>
                <w:rFonts w:hint="eastAsia" w:ascii="宋体" w:hAnsi="宋体"/>
                <w:szCs w:val="21"/>
              </w:rPr>
            </w:pPr>
            <w:r>
              <w:rPr>
                <w:rFonts w:hint="eastAsia" w:ascii="宋体" w:hAnsi="宋体"/>
                <w:szCs w:val="21"/>
              </w:rPr>
              <w:t>7</w:t>
            </w:r>
          </w:p>
        </w:tc>
        <w:tc>
          <w:tcPr>
            <w:tcW w:w="4945" w:type="dxa"/>
            <w:noWrap w:val="0"/>
            <w:vAlign w:val="center"/>
          </w:tcPr>
          <w:p>
            <w:pPr>
              <w:wordWrap w:val="0"/>
              <w:rPr>
                <w:rFonts w:hint="eastAsia" w:ascii="宋体" w:hAnsi="宋体"/>
                <w:szCs w:val="21"/>
              </w:rPr>
            </w:pPr>
            <w:r>
              <w:rPr>
                <w:rFonts w:hint="eastAsia" w:ascii="宋体" w:hAnsi="宋体"/>
                <w:szCs w:val="21"/>
              </w:rPr>
              <w:t>同意</w:t>
            </w:r>
            <w:r>
              <w:rPr>
                <w:rFonts w:hint="eastAsia" w:ascii="宋体" w:hAnsi="宋体"/>
                <w:szCs w:val="21"/>
                <w:lang w:eastAsia="zh-CN"/>
              </w:rPr>
              <w:t>采购</w:t>
            </w:r>
            <w:r>
              <w:rPr>
                <w:rFonts w:hint="eastAsia" w:ascii="宋体" w:hAnsi="宋体"/>
                <w:szCs w:val="21"/>
              </w:rPr>
              <w:t>人以任何形式对我方</w:t>
            </w:r>
            <w:r>
              <w:rPr>
                <w:rFonts w:hint="eastAsia" w:ascii="宋体" w:hAnsi="宋体"/>
                <w:szCs w:val="21"/>
                <w:lang w:val="en-US" w:eastAsia="zh-CN"/>
              </w:rPr>
              <w:t>参评</w:t>
            </w:r>
            <w:r>
              <w:rPr>
                <w:rFonts w:hint="eastAsia" w:ascii="宋体" w:hAnsi="宋体"/>
                <w:szCs w:val="21"/>
              </w:rPr>
              <w:t>文件内容的真实性和有效性进行审查、验证。</w:t>
            </w:r>
          </w:p>
        </w:tc>
        <w:tc>
          <w:tcPr>
            <w:tcW w:w="1642" w:type="dxa"/>
            <w:noWrap w:val="0"/>
            <w:vAlign w:val="center"/>
          </w:tcPr>
          <w:p>
            <w:pPr>
              <w:jc w:val="center"/>
              <w:rPr>
                <w:rFonts w:hint="eastAsia" w:ascii="宋体" w:hAnsi="宋体"/>
                <w:szCs w:val="21"/>
              </w:rPr>
            </w:pPr>
            <w:r>
              <w:rPr>
                <w:rFonts w:hint="eastAsia"/>
              </w:rPr>
              <w:t xml:space="preserve">□完全响应  </w:t>
            </w:r>
            <w:r>
              <w:rPr>
                <w:rFonts w:hint="eastAsia" w:ascii="Times New Roman" w:hAnsi="Times New Roman" w:eastAsia="宋体" w:cs="Times New Roman"/>
              </w:rPr>
              <w:t>□部分响应</w:t>
            </w:r>
          </w:p>
        </w:tc>
        <w:tc>
          <w:tcPr>
            <w:tcW w:w="1769" w:type="dxa"/>
            <w:noWrap w:val="0"/>
            <w:vAlign w:val="center"/>
          </w:tcPr>
          <w:p>
            <w:pPr>
              <w:jc w:val="center"/>
              <w:rPr>
                <w:rFonts w:hint="eastAsia" w:ascii="宋体" w:hAnsi="宋体"/>
                <w:szCs w:val="21"/>
              </w:rPr>
            </w:pPr>
          </w:p>
        </w:tc>
      </w:tr>
    </w:tbl>
    <w:p>
      <w:pPr>
        <w:ind w:left="630" w:hanging="630" w:hangingChars="300"/>
        <w:jc w:val="left"/>
        <w:rPr>
          <w:rFonts w:hint="eastAsia" w:ascii="宋体" w:hAnsi="宋体"/>
          <w:szCs w:val="21"/>
          <w:lang w:val="en-GB"/>
        </w:rPr>
      </w:pPr>
    </w:p>
    <w:p>
      <w:pPr>
        <w:jc w:val="left"/>
        <w:rPr>
          <w:rFonts w:hint="eastAsia"/>
          <w:sz w:val="44"/>
          <w:szCs w:val="44"/>
          <w:lang w:val="en-US" w:eastAsia="zh-CN"/>
        </w:rPr>
      </w:pPr>
      <w:r>
        <w:rPr>
          <w:rFonts w:hint="eastAsia" w:ascii="宋体" w:hAnsi="宋体"/>
          <w:szCs w:val="21"/>
        </w:rPr>
        <w:t>注：对于上述要求，如</w:t>
      </w:r>
      <w:r>
        <w:rPr>
          <w:rFonts w:hint="eastAsia" w:ascii="宋体" w:hAnsi="宋体"/>
          <w:szCs w:val="21"/>
          <w:lang w:eastAsia="zh-CN"/>
        </w:rPr>
        <w:t>参评供应商</w:t>
      </w:r>
      <w:r>
        <w:rPr>
          <w:rFonts w:hint="eastAsia" w:ascii="宋体" w:hAnsi="宋体"/>
          <w:szCs w:val="21"/>
        </w:rPr>
        <w:t>完全响应，则请在“响应</w:t>
      </w:r>
      <w:r>
        <w:rPr>
          <w:rFonts w:hint="eastAsia" w:ascii="宋体" w:hAnsi="宋体"/>
          <w:szCs w:val="21"/>
          <w:lang w:val="en-US" w:eastAsia="zh-CN"/>
        </w:rPr>
        <w:t>情况</w:t>
      </w:r>
      <w:r>
        <w:rPr>
          <w:rFonts w:hint="eastAsia" w:ascii="宋体" w:hAnsi="宋体"/>
          <w:szCs w:val="21"/>
        </w:rPr>
        <w:t>”栏</w:t>
      </w:r>
      <w:r>
        <w:rPr>
          <w:rFonts w:hint="eastAsia" w:ascii="宋体" w:hAnsi="宋体"/>
          <w:szCs w:val="21"/>
          <w:lang w:val="en-US" w:eastAsia="zh-CN"/>
        </w:rPr>
        <w:t>的“完全响应”框</w:t>
      </w:r>
      <w:r>
        <w:rPr>
          <w:rFonts w:hint="eastAsia" w:ascii="宋体" w:hAnsi="宋体"/>
          <w:szCs w:val="21"/>
        </w:rPr>
        <w:t>打“√”，对空白或</w:t>
      </w:r>
      <w:r>
        <w:rPr>
          <w:rFonts w:hint="eastAsia" w:ascii="宋体" w:hAnsi="宋体"/>
          <w:szCs w:val="21"/>
          <w:lang w:val="en-US" w:eastAsia="zh-CN"/>
        </w:rPr>
        <w:t>“部分响应”框</w:t>
      </w:r>
      <w:r>
        <w:rPr>
          <w:rFonts w:hint="eastAsia" w:ascii="宋体" w:hAnsi="宋体"/>
          <w:szCs w:val="21"/>
        </w:rPr>
        <w:t>打“√”视为偏离，请在“偏离说明”栏内扼要说明偏离情况。</w:t>
      </w:r>
    </w:p>
    <w:p>
      <w:pPr>
        <w:jc w:val="center"/>
        <w:rPr>
          <w:rFonts w:hint="eastAsia" w:eastAsia="宋体"/>
          <w:sz w:val="44"/>
          <w:szCs w:val="44"/>
          <w:lang w:val="en-US" w:eastAsia="zh-CN"/>
        </w:rPr>
      </w:pPr>
    </w:p>
    <w:p>
      <w:pPr>
        <w:keepNext w:val="0"/>
        <w:keepLines w:val="0"/>
        <w:pageBreakBefore w:val="0"/>
        <w:kinsoku/>
        <w:wordWrap/>
        <w:overflowPunct/>
        <w:topLinePunct w:val="0"/>
        <w:bidi w:val="0"/>
        <w:adjustRightInd w:val="0"/>
        <w:snapToGrid w:val="0"/>
        <w:spacing w:line="560" w:lineRule="exact"/>
        <w:ind w:firstLine="0" w:firstLineChars="0"/>
        <w:rPr>
          <w:rFonts w:ascii="宋体" w:hAnsi="宋体"/>
          <w:bCs/>
          <w:sz w:val="24"/>
          <w:highlight w:val="none"/>
        </w:rPr>
      </w:pPr>
      <w:r>
        <w:rPr>
          <w:rFonts w:hint="eastAsia" w:ascii="宋体" w:hAnsi="宋体"/>
          <w:bCs/>
          <w:sz w:val="24"/>
          <w:highlight w:val="none"/>
          <w:lang w:val="en-US" w:eastAsia="zh-CN"/>
        </w:rPr>
        <w:t>参评供应商</w:t>
      </w:r>
      <w:r>
        <w:rPr>
          <w:rFonts w:hint="eastAsia" w:ascii="宋体" w:hAnsi="宋体"/>
          <w:bCs/>
          <w:sz w:val="24"/>
          <w:highlight w:val="none"/>
        </w:rPr>
        <w:t>（</w:t>
      </w:r>
      <w:r>
        <w:rPr>
          <w:rFonts w:hint="eastAsia" w:ascii="宋体" w:hAnsi="宋体"/>
          <w:bCs/>
          <w:sz w:val="24"/>
          <w:highlight w:val="none"/>
          <w:lang w:val="en-US" w:eastAsia="zh-CN"/>
        </w:rPr>
        <w:t>盖</w:t>
      </w:r>
      <w:r>
        <w:rPr>
          <w:rFonts w:hint="eastAsia" w:ascii="宋体" w:hAnsi="宋体"/>
          <w:bCs/>
          <w:sz w:val="24"/>
          <w:highlight w:val="none"/>
        </w:rPr>
        <w:t>章）：</w:t>
      </w:r>
    </w:p>
    <w:p>
      <w:pPr>
        <w:adjustRightInd w:val="0"/>
        <w:snapToGrid w:val="0"/>
        <w:spacing w:line="560" w:lineRule="exact"/>
        <w:ind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bCs/>
          <w:sz w:val="24"/>
          <w:highlight w:val="none"/>
        </w:rPr>
        <w:t>日期：</w:t>
      </w:r>
    </w:p>
    <w:p>
      <w:pPr>
        <w:rPr>
          <w:rFonts w:hint="eastAsia" w:ascii="宋体" w:hAnsi="宋体" w:eastAsia="宋体" w:cs="宋体"/>
          <w:b w:val="0"/>
          <w:bCs w:val="0"/>
          <w:color w:val="auto"/>
          <w:sz w:val="24"/>
          <w:szCs w:val="24"/>
          <w:highlight w:val="none"/>
          <w:lang w:val="en-US" w:eastAsia="zh-CN"/>
        </w:rPr>
      </w:pPr>
    </w:p>
    <w:p>
      <w:pPr>
        <w:pStyle w:val="1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12"/>
        <w:rPr>
          <w:rFonts w:hint="eastAsia" w:ascii="宋体" w:hAnsi="宋体" w:eastAsia="宋体" w:cs="宋体"/>
          <w:b w:val="0"/>
          <w:bCs w:val="0"/>
          <w:color w:val="auto"/>
          <w:sz w:val="24"/>
          <w:szCs w:val="24"/>
          <w:highlight w:val="none"/>
          <w:lang w:val="en-US" w:eastAsia="zh-CN"/>
        </w:rPr>
      </w:pPr>
    </w:p>
    <w:p>
      <w:pPr>
        <w:rPr>
          <w:rFonts w:hint="eastAsia" w:ascii="宋体" w:hAnsi="宋体" w:eastAsia="宋体" w:cs="宋体"/>
          <w:b w:val="0"/>
          <w:bCs w:val="0"/>
          <w:color w:val="auto"/>
          <w:sz w:val="24"/>
          <w:szCs w:val="24"/>
          <w:highlight w:val="none"/>
          <w:lang w:val="en-US" w:eastAsia="zh-CN"/>
        </w:rPr>
      </w:pPr>
    </w:p>
    <w:p>
      <w:pPr>
        <w:pStyle w:val="12"/>
        <w:rPr>
          <w:rFonts w:hint="eastAsia" w:ascii="宋体" w:hAnsi="宋体" w:eastAsia="宋体" w:cs="宋体"/>
          <w:b w:val="0"/>
          <w:bCs w:val="0"/>
          <w:color w:val="auto"/>
          <w:sz w:val="24"/>
          <w:szCs w:val="24"/>
          <w:highlight w:val="none"/>
          <w:lang w:val="en-US" w:eastAsia="zh-CN"/>
        </w:rPr>
      </w:pPr>
    </w:p>
    <w:bookmarkEnd w:id="0"/>
    <w:bookmarkEnd w:id="4"/>
    <w:p>
      <w:pPr>
        <w:pStyle w:val="12"/>
        <w:rPr>
          <w:rFonts w:hint="default"/>
          <w:lang w:val="en-US" w:eastAsia="zh-CN"/>
        </w:rPr>
      </w:pPr>
    </w:p>
    <w:sectPr>
      <w:headerReference r:id="rId15" w:type="default"/>
      <w:footerReference r:id="rId16" w:type="default"/>
      <w:pgSz w:w="11907" w:h="16840"/>
      <w:pgMar w:top="1134" w:right="1417" w:bottom="1134" w:left="1417" w:header="624"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d2rN4BAAC/AwAADgAAAGRycy9lMm9Eb2MueG1srVNLjhMxEN0jcQfL&#10;e+JOJ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LJ3as3gEAAL8DAAAOAAAAAAAA&#10;AAEAIAAAAB4BAABkcnMvZTJvRG9jLnhtbFBLBQYAAAAABgAGAFkBAABu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YYzt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q84c8LSwC/fv11+/Lr8/MqW&#10;N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CxhjO3gEAAL8DAAAOAAAAAAAA&#10;AAEAIAAAAB4BAABkcnMvZTJvRG9jLnhtbFBLBQYAAAAABgAGAFkBAABu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nC798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ZnC798BAAC/AwAADgAAAAAA&#10;AAABACAAAAAeAQAAZHJzL2Uyb0RvYy54bWxQSwUGAAAAAAYABgBZAQAAbwU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M2EyZmI2MWUyN2Y5NTY4NzE0ZTE5NDQwZmJiYWUifQ=="/>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F7A8C"/>
    <w:rsid w:val="00100638"/>
    <w:rsid w:val="001179CF"/>
    <w:rsid w:val="001226CA"/>
    <w:rsid w:val="001358E8"/>
    <w:rsid w:val="00151C1F"/>
    <w:rsid w:val="001706DD"/>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60BFD"/>
    <w:rsid w:val="00861FE8"/>
    <w:rsid w:val="00865042"/>
    <w:rsid w:val="0087554E"/>
    <w:rsid w:val="00877A3B"/>
    <w:rsid w:val="008B44D7"/>
    <w:rsid w:val="008B6E9E"/>
    <w:rsid w:val="008D03C2"/>
    <w:rsid w:val="00935A07"/>
    <w:rsid w:val="009459B5"/>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C411A"/>
    <w:rsid w:val="00AD057E"/>
    <w:rsid w:val="00AD70D5"/>
    <w:rsid w:val="00AF0A88"/>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9EB"/>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F735E"/>
    <w:rsid w:val="00FF7EA3"/>
    <w:rsid w:val="010B7BD2"/>
    <w:rsid w:val="0143496A"/>
    <w:rsid w:val="014A287B"/>
    <w:rsid w:val="0161429B"/>
    <w:rsid w:val="016F521A"/>
    <w:rsid w:val="018577CD"/>
    <w:rsid w:val="01884664"/>
    <w:rsid w:val="0192287F"/>
    <w:rsid w:val="01E8330A"/>
    <w:rsid w:val="021B3E9D"/>
    <w:rsid w:val="022F5059"/>
    <w:rsid w:val="023E3A14"/>
    <w:rsid w:val="02733950"/>
    <w:rsid w:val="02796243"/>
    <w:rsid w:val="028231FE"/>
    <w:rsid w:val="0290785E"/>
    <w:rsid w:val="02A527D9"/>
    <w:rsid w:val="02C23FDF"/>
    <w:rsid w:val="02C53D7C"/>
    <w:rsid w:val="02D45384"/>
    <w:rsid w:val="02D47B30"/>
    <w:rsid w:val="02E9454E"/>
    <w:rsid w:val="03173D0F"/>
    <w:rsid w:val="036E530E"/>
    <w:rsid w:val="037C3748"/>
    <w:rsid w:val="03980F58"/>
    <w:rsid w:val="03A53C9A"/>
    <w:rsid w:val="03BD46AF"/>
    <w:rsid w:val="03E906EE"/>
    <w:rsid w:val="03EB4E90"/>
    <w:rsid w:val="04241E73"/>
    <w:rsid w:val="04262995"/>
    <w:rsid w:val="042B5724"/>
    <w:rsid w:val="0433107A"/>
    <w:rsid w:val="043D0974"/>
    <w:rsid w:val="043D09D3"/>
    <w:rsid w:val="04690C9B"/>
    <w:rsid w:val="04D2377E"/>
    <w:rsid w:val="04D24BD5"/>
    <w:rsid w:val="04F1742A"/>
    <w:rsid w:val="04FC5E0B"/>
    <w:rsid w:val="052E22E8"/>
    <w:rsid w:val="05347706"/>
    <w:rsid w:val="05435A52"/>
    <w:rsid w:val="05472224"/>
    <w:rsid w:val="055D4226"/>
    <w:rsid w:val="05BE1387"/>
    <w:rsid w:val="05D7205D"/>
    <w:rsid w:val="05F06675"/>
    <w:rsid w:val="05F36725"/>
    <w:rsid w:val="05F97E1E"/>
    <w:rsid w:val="05FC5F6C"/>
    <w:rsid w:val="05FF3E62"/>
    <w:rsid w:val="05FF5242"/>
    <w:rsid w:val="06231EFD"/>
    <w:rsid w:val="062C04B9"/>
    <w:rsid w:val="06422DB1"/>
    <w:rsid w:val="065870C9"/>
    <w:rsid w:val="065D210B"/>
    <w:rsid w:val="066B0753"/>
    <w:rsid w:val="06702EAB"/>
    <w:rsid w:val="06795F3F"/>
    <w:rsid w:val="067E389C"/>
    <w:rsid w:val="06813213"/>
    <w:rsid w:val="069D6864"/>
    <w:rsid w:val="06A134CC"/>
    <w:rsid w:val="06A60C30"/>
    <w:rsid w:val="06B119B4"/>
    <w:rsid w:val="06D30203"/>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F4BF2"/>
    <w:rsid w:val="08734B0F"/>
    <w:rsid w:val="08E13BA5"/>
    <w:rsid w:val="08EF12F5"/>
    <w:rsid w:val="08F37C0A"/>
    <w:rsid w:val="08FE2B4C"/>
    <w:rsid w:val="091D6D2A"/>
    <w:rsid w:val="0934428C"/>
    <w:rsid w:val="09535363"/>
    <w:rsid w:val="09581E0B"/>
    <w:rsid w:val="095D64D1"/>
    <w:rsid w:val="09606FD4"/>
    <w:rsid w:val="09D973F0"/>
    <w:rsid w:val="09DF3508"/>
    <w:rsid w:val="09EB6247"/>
    <w:rsid w:val="0A002D14"/>
    <w:rsid w:val="0A057831"/>
    <w:rsid w:val="0A0A4B54"/>
    <w:rsid w:val="0A1D7AE7"/>
    <w:rsid w:val="0A1F4B6E"/>
    <w:rsid w:val="0A34078D"/>
    <w:rsid w:val="0A3C237F"/>
    <w:rsid w:val="0A6778F5"/>
    <w:rsid w:val="0A715808"/>
    <w:rsid w:val="0AA64848"/>
    <w:rsid w:val="0AB038FA"/>
    <w:rsid w:val="0AB42826"/>
    <w:rsid w:val="0ACE526C"/>
    <w:rsid w:val="0ACF685A"/>
    <w:rsid w:val="0ADD0260"/>
    <w:rsid w:val="0B1378FA"/>
    <w:rsid w:val="0B176497"/>
    <w:rsid w:val="0B210255"/>
    <w:rsid w:val="0B627B1C"/>
    <w:rsid w:val="0B7569DD"/>
    <w:rsid w:val="0BDC6240"/>
    <w:rsid w:val="0C470E4E"/>
    <w:rsid w:val="0C567B94"/>
    <w:rsid w:val="0C5A35C8"/>
    <w:rsid w:val="0C724156"/>
    <w:rsid w:val="0C961F39"/>
    <w:rsid w:val="0CAB7001"/>
    <w:rsid w:val="0CAD5F38"/>
    <w:rsid w:val="0CB908B9"/>
    <w:rsid w:val="0CB9349C"/>
    <w:rsid w:val="0CD043B5"/>
    <w:rsid w:val="0CDB39AB"/>
    <w:rsid w:val="0D0F1ED1"/>
    <w:rsid w:val="0D153DDC"/>
    <w:rsid w:val="0D1D57DC"/>
    <w:rsid w:val="0D1E7B48"/>
    <w:rsid w:val="0D277310"/>
    <w:rsid w:val="0D5200A9"/>
    <w:rsid w:val="0D5B02E4"/>
    <w:rsid w:val="0D766F90"/>
    <w:rsid w:val="0D9711B2"/>
    <w:rsid w:val="0DCB4048"/>
    <w:rsid w:val="0DD72AB2"/>
    <w:rsid w:val="0DDA5B01"/>
    <w:rsid w:val="0DFE43DA"/>
    <w:rsid w:val="0E21634A"/>
    <w:rsid w:val="0E245870"/>
    <w:rsid w:val="0E383782"/>
    <w:rsid w:val="0E54482E"/>
    <w:rsid w:val="0E8A0880"/>
    <w:rsid w:val="0E9111D2"/>
    <w:rsid w:val="0E91595E"/>
    <w:rsid w:val="0EB649B2"/>
    <w:rsid w:val="0EC71BEC"/>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3189E"/>
    <w:rsid w:val="107C435F"/>
    <w:rsid w:val="108353AD"/>
    <w:rsid w:val="1086619E"/>
    <w:rsid w:val="10A36E15"/>
    <w:rsid w:val="10CA369B"/>
    <w:rsid w:val="10F2503A"/>
    <w:rsid w:val="10FD2625"/>
    <w:rsid w:val="11030642"/>
    <w:rsid w:val="1107142E"/>
    <w:rsid w:val="11100E3C"/>
    <w:rsid w:val="111A4E7A"/>
    <w:rsid w:val="116022E6"/>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A37C7E"/>
    <w:rsid w:val="13B50586"/>
    <w:rsid w:val="13C27156"/>
    <w:rsid w:val="14131A4D"/>
    <w:rsid w:val="14172225"/>
    <w:rsid w:val="142B7F7D"/>
    <w:rsid w:val="14424B94"/>
    <w:rsid w:val="1448764C"/>
    <w:rsid w:val="146F42CC"/>
    <w:rsid w:val="147F2942"/>
    <w:rsid w:val="14884750"/>
    <w:rsid w:val="14AD4E44"/>
    <w:rsid w:val="14CA0D90"/>
    <w:rsid w:val="14E821D0"/>
    <w:rsid w:val="14EA4831"/>
    <w:rsid w:val="14EE2851"/>
    <w:rsid w:val="15000592"/>
    <w:rsid w:val="15170445"/>
    <w:rsid w:val="151B37F7"/>
    <w:rsid w:val="15316EAD"/>
    <w:rsid w:val="154F680F"/>
    <w:rsid w:val="15A33AAA"/>
    <w:rsid w:val="15C40A69"/>
    <w:rsid w:val="15CE3D48"/>
    <w:rsid w:val="163312FC"/>
    <w:rsid w:val="163D7C22"/>
    <w:rsid w:val="16690925"/>
    <w:rsid w:val="167563A8"/>
    <w:rsid w:val="16AE6042"/>
    <w:rsid w:val="16C57731"/>
    <w:rsid w:val="16CC5793"/>
    <w:rsid w:val="173914CE"/>
    <w:rsid w:val="173F657E"/>
    <w:rsid w:val="17693BCC"/>
    <w:rsid w:val="17827659"/>
    <w:rsid w:val="17854F74"/>
    <w:rsid w:val="17A97FFD"/>
    <w:rsid w:val="17AA183F"/>
    <w:rsid w:val="17BF17AC"/>
    <w:rsid w:val="17D54812"/>
    <w:rsid w:val="17FE6DF4"/>
    <w:rsid w:val="18213480"/>
    <w:rsid w:val="18247151"/>
    <w:rsid w:val="185A0B11"/>
    <w:rsid w:val="185A4860"/>
    <w:rsid w:val="1870489F"/>
    <w:rsid w:val="18732A1B"/>
    <w:rsid w:val="18937086"/>
    <w:rsid w:val="18A04D95"/>
    <w:rsid w:val="18FB18AE"/>
    <w:rsid w:val="190C2680"/>
    <w:rsid w:val="191F63D5"/>
    <w:rsid w:val="19484078"/>
    <w:rsid w:val="195B7EBD"/>
    <w:rsid w:val="1960646A"/>
    <w:rsid w:val="19654D59"/>
    <w:rsid w:val="196F4069"/>
    <w:rsid w:val="19891909"/>
    <w:rsid w:val="19AC5E26"/>
    <w:rsid w:val="19D87C3F"/>
    <w:rsid w:val="19E15BC1"/>
    <w:rsid w:val="1A184016"/>
    <w:rsid w:val="1A217292"/>
    <w:rsid w:val="1A253E7A"/>
    <w:rsid w:val="1A5307EE"/>
    <w:rsid w:val="1A6D79F3"/>
    <w:rsid w:val="1A736B05"/>
    <w:rsid w:val="1A765907"/>
    <w:rsid w:val="1AA27163"/>
    <w:rsid w:val="1AAA4644"/>
    <w:rsid w:val="1AC8598D"/>
    <w:rsid w:val="1ACF439A"/>
    <w:rsid w:val="1AE17584"/>
    <w:rsid w:val="1AE24E3B"/>
    <w:rsid w:val="1B0F7662"/>
    <w:rsid w:val="1B2F01F7"/>
    <w:rsid w:val="1B807457"/>
    <w:rsid w:val="1B832885"/>
    <w:rsid w:val="1B952E18"/>
    <w:rsid w:val="1BB10A56"/>
    <w:rsid w:val="1C1B17CC"/>
    <w:rsid w:val="1C35198D"/>
    <w:rsid w:val="1C3A1777"/>
    <w:rsid w:val="1C3B0523"/>
    <w:rsid w:val="1C3B7E7E"/>
    <w:rsid w:val="1C4933F0"/>
    <w:rsid w:val="1C626417"/>
    <w:rsid w:val="1C991EF3"/>
    <w:rsid w:val="1CAE4C75"/>
    <w:rsid w:val="1CB97042"/>
    <w:rsid w:val="1CD8293B"/>
    <w:rsid w:val="1CDA33E7"/>
    <w:rsid w:val="1D0A2E3C"/>
    <w:rsid w:val="1D1711DB"/>
    <w:rsid w:val="1D30010B"/>
    <w:rsid w:val="1D492FA7"/>
    <w:rsid w:val="1D77798B"/>
    <w:rsid w:val="1DA63EF4"/>
    <w:rsid w:val="1DC81A3C"/>
    <w:rsid w:val="1DF76DD6"/>
    <w:rsid w:val="1E324B0D"/>
    <w:rsid w:val="1E3910A4"/>
    <w:rsid w:val="1E5F445F"/>
    <w:rsid w:val="1E696A14"/>
    <w:rsid w:val="1EAD63D5"/>
    <w:rsid w:val="1EB04B98"/>
    <w:rsid w:val="1EC11295"/>
    <w:rsid w:val="1EE02710"/>
    <w:rsid w:val="1F1A719F"/>
    <w:rsid w:val="1F1B1D40"/>
    <w:rsid w:val="1F1C3EE6"/>
    <w:rsid w:val="1F4F1119"/>
    <w:rsid w:val="1F761129"/>
    <w:rsid w:val="1F82305D"/>
    <w:rsid w:val="1F9C4CF0"/>
    <w:rsid w:val="1FA05471"/>
    <w:rsid w:val="1FAF5847"/>
    <w:rsid w:val="1FBC7C45"/>
    <w:rsid w:val="1FEC1CDB"/>
    <w:rsid w:val="20043A13"/>
    <w:rsid w:val="2009646C"/>
    <w:rsid w:val="201F50AB"/>
    <w:rsid w:val="20286BE7"/>
    <w:rsid w:val="202D7C49"/>
    <w:rsid w:val="205C55F5"/>
    <w:rsid w:val="20867976"/>
    <w:rsid w:val="2089713B"/>
    <w:rsid w:val="209B5B4C"/>
    <w:rsid w:val="20A02DD5"/>
    <w:rsid w:val="20A506EA"/>
    <w:rsid w:val="20A8265D"/>
    <w:rsid w:val="20C23B31"/>
    <w:rsid w:val="2108125A"/>
    <w:rsid w:val="21093CBF"/>
    <w:rsid w:val="211E72B1"/>
    <w:rsid w:val="21591110"/>
    <w:rsid w:val="216633DA"/>
    <w:rsid w:val="21C464B4"/>
    <w:rsid w:val="21DA72BB"/>
    <w:rsid w:val="21DB070A"/>
    <w:rsid w:val="21DB684C"/>
    <w:rsid w:val="21EC349F"/>
    <w:rsid w:val="21FF47DB"/>
    <w:rsid w:val="2240258F"/>
    <w:rsid w:val="22595980"/>
    <w:rsid w:val="22702D5E"/>
    <w:rsid w:val="227674C8"/>
    <w:rsid w:val="22821F7B"/>
    <w:rsid w:val="2298358E"/>
    <w:rsid w:val="22B02C65"/>
    <w:rsid w:val="22CF3A06"/>
    <w:rsid w:val="22D40D00"/>
    <w:rsid w:val="231E2A9A"/>
    <w:rsid w:val="2335498D"/>
    <w:rsid w:val="2345760F"/>
    <w:rsid w:val="235112E4"/>
    <w:rsid w:val="23621F42"/>
    <w:rsid w:val="2366347A"/>
    <w:rsid w:val="238C52DA"/>
    <w:rsid w:val="238F728B"/>
    <w:rsid w:val="23F877B1"/>
    <w:rsid w:val="23FA2EBA"/>
    <w:rsid w:val="24055D9A"/>
    <w:rsid w:val="2499073E"/>
    <w:rsid w:val="24C40DEC"/>
    <w:rsid w:val="24C47B4E"/>
    <w:rsid w:val="24ED0608"/>
    <w:rsid w:val="24EE2B98"/>
    <w:rsid w:val="24F51A50"/>
    <w:rsid w:val="25013871"/>
    <w:rsid w:val="250F7ADC"/>
    <w:rsid w:val="251A2EC1"/>
    <w:rsid w:val="255F743F"/>
    <w:rsid w:val="257A5247"/>
    <w:rsid w:val="257A5BE4"/>
    <w:rsid w:val="25B95445"/>
    <w:rsid w:val="25C1365F"/>
    <w:rsid w:val="25DB357E"/>
    <w:rsid w:val="25E2074D"/>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9E7019"/>
    <w:rsid w:val="28B21185"/>
    <w:rsid w:val="28C57065"/>
    <w:rsid w:val="2900490A"/>
    <w:rsid w:val="29104F95"/>
    <w:rsid w:val="29160A6A"/>
    <w:rsid w:val="2916382F"/>
    <w:rsid w:val="293A6BA0"/>
    <w:rsid w:val="293D2F9F"/>
    <w:rsid w:val="29496A2B"/>
    <w:rsid w:val="298619C5"/>
    <w:rsid w:val="29CD6E0B"/>
    <w:rsid w:val="29DB7009"/>
    <w:rsid w:val="29E12779"/>
    <w:rsid w:val="29F274D9"/>
    <w:rsid w:val="29F54660"/>
    <w:rsid w:val="2A074834"/>
    <w:rsid w:val="2A1A4B90"/>
    <w:rsid w:val="2A6E077A"/>
    <w:rsid w:val="2A8D0BC5"/>
    <w:rsid w:val="2A9D6489"/>
    <w:rsid w:val="2AAE5511"/>
    <w:rsid w:val="2B3A611D"/>
    <w:rsid w:val="2B4A23FD"/>
    <w:rsid w:val="2B5F4365"/>
    <w:rsid w:val="2B857219"/>
    <w:rsid w:val="2B8E2A76"/>
    <w:rsid w:val="2BFF1B37"/>
    <w:rsid w:val="2C0F7423"/>
    <w:rsid w:val="2C2B19BA"/>
    <w:rsid w:val="2C442B0D"/>
    <w:rsid w:val="2C4C727A"/>
    <w:rsid w:val="2C6251CE"/>
    <w:rsid w:val="2C6B4037"/>
    <w:rsid w:val="2C95682C"/>
    <w:rsid w:val="2CA15966"/>
    <w:rsid w:val="2CB143C5"/>
    <w:rsid w:val="2CEF19AF"/>
    <w:rsid w:val="2D176EDB"/>
    <w:rsid w:val="2D2536DC"/>
    <w:rsid w:val="2D380720"/>
    <w:rsid w:val="2D3F4A4F"/>
    <w:rsid w:val="2DB37418"/>
    <w:rsid w:val="2E0010BE"/>
    <w:rsid w:val="2E065750"/>
    <w:rsid w:val="2E2703EA"/>
    <w:rsid w:val="2E632F3C"/>
    <w:rsid w:val="2ECB42D1"/>
    <w:rsid w:val="2ECD0CBF"/>
    <w:rsid w:val="2EEE2F8B"/>
    <w:rsid w:val="2EFE112F"/>
    <w:rsid w:val="2F143137"/>
    <w:rsid w:val="2F2E713E"/>
    <w:rsid w:val="2F2F4078"/>
    <w:rsid w:val="2F3F511C"/>
    <w:rsid w:val="2F4F7689"/>
    <w:rsid w:val="2F6E2E44"/>
    <w:rsid w:val="2F9766E3"/>
    <w:rsid w:val="2FE5271D"/>
    <w:rsid w:val="2FED502D"/>
    <w:rsid w:val="2FFD6164"/>
    <w:rsid w:val="30107868"/>
    <w:rsid w:val="301B756B"/>
    <w:rsid w:val="30200624"/>
    <w:rsid w:val="302216FB"/>
    <w:rsid w:val="3037562B"/>
    <w:rsid w:val="30402632"/>
    <w:rsid w:val="30733E1D"/>
    <w:rsid w:val="3096741E"/>
    <w:rsid w:val="30A110A4"/>
    <w:rsid w:val="30B36C61"/>
    <w:rsid w:val="30B52369"/>
    <w:rsid w:val="30B73648"/>
    <w:rsid w:val="30C21F49"/>
    <w:rsid w:val="30C37B1B"/>
    <w:rsid w:val="30CE69CD"/>
    <w:rsid w:val="30D957DB"/>
    <w:rsid w:val="31283BB5"/>
    <w:rsid w:val="312F419E"/>
    <w:rsid w:val="31434320"/>
    <w:rsid w:val="31486F2C"/>
    <w:rsid w:val="315D757E"/>
    <w:rsid w:val="31A4332B"/>
    <w:rsid w:val="31B12DC9"/>
    <w:rsid w:val="31B2630F"/>
    <w:rsid w:val="31B41A25"/>
    <w:rsid w:val="31E05B58"/>
    <w:rsid w:val="321C6ECD"/>
    <w:rsid w:val="323131C9"/>
    <w:rsid w:val="32323330"/>
    <w:rsid w:val="32420BDA"/>
    <w:rsid w:val="32602235"/>
    <w:rsid w:val="327328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B1413D"/>
    <w:rsid w:val="34B46FD2"/>
    <w:rsid w:val="357A4D33"/>
    <w:rsid w:val="357B023E"/>
    <w:rsid w:val="357D1B6A"/>
    <w:rsid w:val="35851A3A"/>
    <w:rsid w:val="35AB0D5C"/>
    <w:rsid w:val="35BE7F5D"/>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9850D3"/>
    <w:rsid w:val="379B2ED6"/>
    <w:rsid w:val="379D4EBE"/>
    <w:rsid w:val="37A30CFD"/>
    <w:rsid w:val="37A72FFE"/>
    <w:rsid w:val="37B26DB8"/>
    <w:rsid w:val="37FE1E64"/>
    <w:rsid w:val="38203191"/>
    <w:rsid w:val="383E5D60"/>
    <w:rsid w:val="384D1B5D"/>
    <w:rsid w:val="385A0EAA"/>
    <w:rsid w:val="385D408A"/>
    <w:rsid w:val="386A6F5A"/>
    <w:rsid w:val="386B4E07"/>
    <w:rsid w:val="3881359D"/>
    <w:rsid w:val="3899362A"/>
    <w:rsid w:val="38EF2E3F"/>
    <w:rsid w:val="38F75971"/>
    <w:rsid w:val="39183F7E"/>
    <w:rsid w:val="391C0FB5"/>
    <w:rsid w:val="394D72A3"/>
    <w:rsid w:val="39521DE6"/>
    <w:rsid w:val="39544012"/>
    <w:rsid w:val="3960396A"/>
    <w:rsid w:val="39640063"/>
    <w:rsid w:val="39723136"/>
    <w:rsid w:val="397A58BC"/>
    <w:rsid w:val="39843B34"/>
    <w:rsid w:val="39C53791"/>
    <w:rsid w:val="39E3224E"/>
    <w:rsid w:val="3A04181E"/>
    <w:rsid w:val="3A084E0F"/>
    <w:rsid w:val="3A144F76"/>
    <w:rsid w:val="3A3C3F6F"/>
    <w:rsid w:val="3A3D4BC8"/>
    <w:rsid w:val="3A537A01"/>
    <w:rsid w:val="3A591337"/>
    <w:rsid w:val="3A5C5DC6"/>
    <w:rsid w:val="3A633593"/>
    <w:rsid w:val="3A641186"/>
    <w:rsid w:val="3A6D0344"/>
    <w:rsid w:val="3A782F64"/>
    <w:rsid w:val="3AA071B2"/>
    <w:rsid w:val="3AA97F22"/>
    <w:rsid w:val="3ACC0644"/>
    <w:rsid w:val="3ADE30A1"/>
    <w:rsid w:val="3AF81A31"/>
    <w:rsid w:val="3B1235D0"/>
    <w:rsid w:val="3B3F6A44"/>
    <w:rsid w:val="3B530B25"/>
    <w:rsid w:val="3B7B47DC"/>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91FA3"/>
    <w:rsid w:val="3D520814"/>
    <w:rsid w:val="3D566BA8"/>
    <w:rsid w:val="3D5E4230"/>
    <w:rsid w:val="3D6D446D"/>
    <w:rsid w:val="3D7A4326"/>
    <w:rsid w:val="3DB0519A"/>
    <w:rsid w:val="3DB336B7"/>
    <w:rsid w:val="3DE2769F"/>
    <w:rsid w:val="3DF22B68"/>
    <w:rsid w:val="3E0A1BD2"/>
    <w:rsid w:val="3E0A6A1E"/>
    <w:rsid w:val="3E653217"/>
    <w:rsid w:val="3E76449F"/>
    <w:rsid w:val="3E9C2E3E"/>
    <w:rsid w:val="3EA34E24"/>
    <w:rsid w:val="3ECF0B70"/>
    <w:rsid w:val="3ED56AED"/>
    <w:rsid w:val="3ED633E1"/>
    <w:rsid w:val="3EF07D44"/>
    <w:rsid w:val="3EF43037"/>
    <w:rsid w:val="3F0B4C4E"/>
    <w:rsid w:val="3F5E51FF"/>
    <w:rsid w:val="3F6A5C45"/>
    <w:rsid w:val="3F8871E1"/>
    <w:rsid w:val="3FD61D7A"/>
    <w:rsid w:val="3FDF24E4"/>
    <w:rsid w:val="3FF104A5"/>
    <w:rsid w:val="4004706C"/>
    <w:rsid w:val="400E2F20"/>
    <w:rsid w:val="403F697C"/>
    <w:rsid w:val="406A3F6F"/>
    <w:rsid w:val="40783708"/>
    <w:rsid w:val="40813CE0"/>
    <w:rsid w:val="40A01C85"/>
    <w:rsid w:val="40AA22DB"/>
    <w:rsid w:val="40BB7C11"/>
    <w:rsid w:val="41406D10"/>
    <w:rsid w:val="41441915"/>
    <w:rsid w:val="417B0F19"/>
    <w:rsid w:val="41B22D3C"/>
    <w:rsid w:val="41B57C77"/>
    <w:rsid w:val="41E33C60"/>
    <w:rsid w:val="41E869B7"/>
    <w:rsid w:val="41F36D58"/>
    <w:rsid w:val="41F73DDE"/>
    <w:rsid w:val="4218005B"/>
    <w:rsid w:val="42224789"/>
    <w:rsid w:val="425129E2"/>
    <w:rsid w:val="425E32E0"/>
    <w:rsid w:val="42677A68"/>
    <w:rsid w:val="42A3119D"/>
    <w:rsid w:val="42C40F54"/>
    <w:rsid w:val="42EF6284"/>
    <w:rsid w:val="4311120E"/>
    <w:rsid w:val="433504EC"/>
    <w:rsid w:val="43382772"/>
    <w:rsid w:val="435B32FF"/>
    <w:rsid w:val="438C4BC4"/>
    <w:rsid w:val="43940580"/>
    <w:rsid w:val="43AC6452"/>
    <w:rsid w:val="43C03369"/>
    <w:rsid w:val="43C91E50"/>
    <w:rsid w:val="43DA7FEE"/>
    <w:rsid w:val="440532AB"/>
    <w:rsid w:val="44382F71"/>
    <w:rsid w:val="444A2CAD"/>
    <w:rsid w:val="446115D1"/>
    <w:rsid w:val="44827761"/>
    <w:rsid w:val="44AE1A62"/>
    <w:rsid w:val="44C04765"/>
    <w:rsid w:val="44DA759D"/>
    <w:rsid w:val="452C0086"/>
    <w:rsid w:val="452E722C"/>
    <w:rsid w:val="45605633"/>
    <w:rsid w:val="456C3E29"/>
    <w:rsid w:val="45A315F0"/>
    <w:rsid w:val="45B953B2"/>
    <w:rsid w:val="45FA5263"/>
    <w:rsid w:val="46420936"/>
    <w:rsid w:val="46456F86"/>
    <w:rsid w:val="466510E8"/>
    <w:rsid w:val="46793B1E"/>
    <w:rsid w:val="46851570"/>
    <w:rsid w:val="472407E9"/>
    <w:rsid w:val="47372C35"/>
    <w:rsid w:val="47623D82"/>
    <w:rsid w:val="47805B8E"/>
    <w:rsid w:val="478A48A3"/>
    <w:rsid w:val="47AC2395"/>
    <w:rsid w:val="47BC49C7"/>
    <w:rsid w:val="47C30FA3"/>
    <w:rsid w:val="47E32FBE"/>
    <w:rsid w:val="47E92D3B"/>
    <w:rsid w:val="47ED3CBC"/>
    <w:rsid w:val="47F70F9C"/>
    <w:rsid w:val="48010667"/>
    <w:rsid w:val="48103D65"/>
    <w:rsid w:val="481423AF"/>
    <w:rsid w:val="48802209"/>
    <w:rsid w:val="488E5E34"/>
    <w:rsid w:val="488F02E4"/>
    <w:rsid w:val="48E70F87"/>
    <w:rsid w:val="48FE718B"/>
    <w:rsid w:val="49172519"/>
    <w:rsid w:val="491931DD"/>
    <w:rsid w:val="491A21ED"/>
    <w:rsid w:val="49647897"/>
    <w:rsid w:val="49743816"/>
    <w:rsid w:val="498C7290"/>
    <w:rsid w:val="49957340"/>
    <w:rsid w:val="49A20B9F"/>
    <w:rsid w:val="49EA2030"/>
    <w:rsid w:val="49F06669"/>
    <w:rsid w:val="49F20CC6"/>
    <w:rsid w:val="49FA026B"/>
    <w:rsid w:val="4A031138"/>
    <w:rsid w:val="4A04238F"/>
    <w:rsid w:val="4A0C378D"/>
    <w:rsid w:val="4A1C2405"/>
    <w:rsid w:val="4A537429"/>
    <w:rsid w:val="4A5964DD"/>
    <w:rsid w:val="4A5B66ED"/>
    <w:rsid w:val="4A866F35"/>
    <w:rsid w:val="4A995C7E"/>
    <w:rsid w:val="4A9B56ED"/>
    <w:rsid w:val="4AA61F8B"/>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541AA8"/>
    <w:rsid w:val="4C5432D9"/>
    <w:rsid w:val="4C7A183F"/>
    <w:rsid w:val="4C85706A"/>
    <w:rsid w:val="4C885E9F"/>
    <w:rsid w:val="4C8E5FF6"/>
    <w:rsid w:val="4CA57814"/>
    <w:rsid w:val="4CB070AF"/>
    <w:rsid w:val="4CB4456A"/>
    <w:rsid w:val="4CBC5F6C"/>
    <w:rsid w:val="4CC71203"/>
    <w:rsid w:val="4CD70354"/>
    <w:rsid w:val="4D0F01CA"/>
    <w:rsid w:val="4D1D271C"/>
    <w:rsid w:val="4D330863"/>
    <w:rsid w:val="4D3E6A52"/>
    <w:rsid w:val="4D6F3140"/>
    <w:rsid w:val="4D833619"/>
    <w:rsid w:val="4D9C08E0"/>
    <w:rsid w:val="4DB946E5"/>
    <w:rsid w:val="4DC85592"/>
    <w:rsid w:val="4DC974FC"/>
    <w:rsid w:val="4DCA2651"/>
    <w:rsid w:val="4DCE5F5F"/>
    <w:rsid w:val="4DEC33FC"/>
    <w:rsid w:val="4E063825"/>
    <w:rsid w:val="4E0A1EFC"/>
    <w:rsid w:val="4E3113F2"/>
    <w:rsid w:val="4E455504"/>
    <w:rsid w:val="4E7E543D"/>
    <w:rsid w:val="4E823055"/>
    <w:rsid w:val="4E8E5E30"/>
    <w:rsid w:val="4E98704C"/>
    <w:rsid w:val="4EB262C0"/>
    <w:rsid w:val="4EB33649"/>
    <w:rsid w:val="4EEF0743"/>
    <w:rsid w:val="4EFD4933"/>
    <w:rsid w:val="4F0F0F08"/>
    <w:rsid w:val="4F711134"/>
    <w:rsid w:val="4FB410AD"/>
    <w:rsid w:val="4FFF539C"/>
    <w:rsid w:val="5006529A"/>
    <w:rsid w:val="500C7AB9"/>
    <w:rsid w:val="50110D78"/>
    <w:rsid w:val="50231AA3"/>
    <w:rsid w:val="504A2ADD"/>
    <w:rsid w:val="5061724C"/>
    <w:rsid w:val="50AA36E0"/>
    <w:rsid w:val="50E63666"/>
    <w:rsid w:val="50EC3059"/>
    <w:rsid w:val="519611B1"/>
    <w:rsid w:val="52161328"/>
    <w:rsid w:val="522C54FE"/>
    <w:rsid w:val="523E3D8C"/>
    <w:rsid w:val="524A4C06"/>
    <w:rsid w:val="525B5AA9"/>
    <w:rsid w:val="52972888"/>
    <w:rsid w:val="52AB2167"/>
    <w:rsid w:val="52AC506F"/>
    <w:rsid w:val="52CC3259"/>
    <w:rsid w:val="52EE16A6"/>
    <w:rsid w:val="52EE4555"/>
    <w:rsid w:val="530F7F4A"/>
    <w:rsid w:val="535449BE"/>
    <w:rsid w:val="53580116"/>
    <w:rsid w:val="53716767"/>
    <w:rsid w:val="53765375"/>
    <w:rsid w:val="53A7323B"/>
    <w:rsid w:val="53B44984"/>
    <w:rsid w:val="53B73D24"/>
    <w:rsid w:val="53DE30B3"/>
    <w:rsid w:val="53F5446E"/>
    <w:rsid w:val="541115C4"/>
    <w:rsid w:val="54421842"/>
    <w:rsid w:val="54566DBB"/>
    <w:rsid w:val="546F7B53"/>
    <w:rsid w:val="54783BB9"/>
    <w:rsid w:val="54E0593D"/>
    <w:rsid w:val="55402FB8"/>
    <w:rsid w:val="555464AA"/>
    <w:rsid w:val="555A05A2"/>
    <w:rsid w:val="55943D4D"/>
    <w:rsid w:val="55AD79E6"/>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644DBD"/>
    <w:rsid w:val="576A0C7E"/>
    <w:rsid w:val="57772E27"/>
    <w:rsid w:val="5803146B"/>
    <w:rsid w:val="583D527E"/>
    <w:rsid w:val="58421D79"/>
    <w:rsid w:val="584256A6"/>
    <w:rsid w:val="589318F2"/>
    <w:rsid w:val="589755E4"/>
    <w:rsid w:val="58D06CE7"/>
    <w:rsid w:val="58D07D35"/>
    <w:rsid w:val="58DD0FB2"/>
    <w:rsid w:val="58EE7873"/>
    <w:rsid w:val="58EF2B3F"/>
    <w:rsid w:val="5915197D"/>
    <w:rsid w:val="59300B63"/>
    <w:rsid w:val="59444D5E"/>
    <w:rsid w:val="5980650D"/>
    <w:rsid w:val="598F33C5"/>
    <w:rsid w:val="5990466F"/>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B058E"/>
    <w:rsid w:val="5ADF702C"/>
    <w:rsid w:val="5AEF1D4A"/>
    <w:rsid w:val="5AF05C2A"/>
    <w:rsid w:val="5AF734FA"/>
    <w:rsid w:val="5B0C6127"/>
    <w:rsid w:val="5B1733CD"/>
    <w:rsid w:val="5B7244A9"/>
    <w:rsid w:val="5B7D0EE0"/>
    <w:rsid w:val="5B89037A"/>
    <w:rsid w:val="5B94420C"/>
    <w:rsid w:val="5B995664"/>
    <w:rsid w:val="5B9F25CB"/>
    <w:rsid w:val="5B9F7E0E"/>
    <w:rsid w:val="5BE87EA3"/>
    <w:rsid w:val="5C1D46F3"/>
    <w:rsid w:val="5C244164"/>
    <w:rsid w:val="5C341852"/>
    <w:rsid w:val="5C8F56E5"/>
    <w:rsid w:val="5C9D5CFC"/>
    <w:rsid w:val="5CBC2899"/>
    <w:rsid w:val="5CCE4539"/>
    <w:rsid w:val="5D1B684A"/>
    <w:rsid w:val="5D25594A"/>
    <w:rsid w:val="5D46671A"/>
    <w:rsid w:val="5D5061F6"/>
    <w:rsid w:val="5D7063F7"/>
    <w:rsid w:val="5D770DC5"/>
    <w:rsid w:val="5D8777FB"/>
    <w:rsid w:val="5D887595"/>
    <w:rsid w:val="5DA14140"/>
    <w:rsid w:val="5DA6621F"/>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E0225"/>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E0487E"/>
    <w:rsid w:val="620E3238"/>
    <w:rsid w:val="62134A81"/>
    <w:rsid w:val="624219D4"/>
    <w:rsid w:val="624B31E8"/>
    <w:rsid w:val="62695DD8"/>
    <w:rsid w:val="62AE6F88"/>
    <w:rsid w:val="62DB6218"/>
    <w:rsid w:val="62F47015"/>
    <w:rsid w:val="6329133C"/>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2C4BC8"/>
    <w:rsid w:val="64580460"/>
    <w:rsid w:val="6468704A"/>
    <w:rsid w:val="64700C9D"/>
    <w:rsid w:val="647C1DB2"/>
    <w:rsid w:val="64C15C8A"/>
    <w:rsid w:val="64E8140A"/>
    <w:rsid w:val="64FB4868"/>
    <w:rsid w:val="64FB76AD"/>
    <w:rsid w:val="6508244C"/>
    <w:rsid w:val="650B2B24"/>
    <w:rsid w:val="65164170"/>
    <w:rsid w:val="651E2D4A"/>
    <w:rsid w:val="652C38CB"/>
    <w:rsid w:val="657966D6"/>
    <w:rsid w:val="65C021EE"/>
    <w:rsid w:val="65ED42ED"/>
    <w:rsid w:val="663F2148"/>
    <w:rsid w:val="664416B7"/>
    <w:rsid w:val="66575A26"/>
    <w:rsid w:val="66651F0E"/>
    <w:rsid w:val="668F32F7"/>
    <w:rsid w:val="66912E15"/>
    <w:rsid w:val="6694143E"/>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BE1513"/>
    <w:rsid w:val="6945758D"/>
    <w:rsid w:val="695B08E4"/>
    <w:rsid w:val="697A7BC6"/>
    <w:rsid w:val="69A17E74"/>
    <w:rsid w:val="69A736F2"/>
    <w:rsid w:val="6A6148DC"/>
    <w:rsid w:val="6A622CA8"/>
    <w:rsid w:val="6A7470A3"/>
    <w:rsid w:val="6A81338F"/>
    <w:rsid w:val="6AA8243F"/>
    <w:rsid w:val="6ABF0D2B"/>
    <w:rsid w:val="6AD41442"/>
    <w:rsid w:val="6AE06B15"/>
    <w:rsid w:val="6B082D6E"/>
    <w:rsid w:val="6B0D4C59"/>
    <w:rsid w:val="6B2B29E1"/>
    <w:rsid w:val="6B470CF0"/>
    <w:rsid w:val="6B6E5025"/>
    <w:rsid w:val="6B871B5D"/>
    <w:rsid w:val="6B9F6CC6"/>
    <w:rsid w:val="6BA06DB9"/>
    <w:rsid w:val="6BAB2B03"/>
    <w:rsid w:val="6BCB05E8"/>
    <w:rsid w:val="6BDF1690"/>
    <w:rsid w:val="6C3B481B"/>
    <w:rsid w:val="6C4B6345"/>
    <w:rsid w:val="6CA56566"/>
    <w:rsid w:val="6CB6087E"/>
    <w:rsid w:val="6D005DA3"/>
    <w:rsid w:val="6D0E4BFD"/>
    <w:rsid w:val="6D830B7D"/>
    <w:rsid w:val="6D9914F3"/>
    <w:rsid w:val="6DD14EB6"/>
    <w:rsid w:val="6E0779B6"/>
    <w:rsid w:val="6E44547D"/>
    <w:rsid w:val="6E5A3889"/>
    <w:rsid w:val="6E671002"/>
    <w:rsid w:val="6E866A33"/>
    <w:rsid w:val="6E96509E"/>
    <w:rsid w:val="6E9817E3"/>
    <w:rsid w:val="6EDA2090"/>
    <w:rsid w:val="6EE21295"/>
    <w:rsid w:val="6EF709D3"/>
    <w:rsid w:val="6EFE5D0F"/>
    <w:rsid w:val="6F0B7C94"/>
    <w:rsid w:val="6F227EA1"/>
    <w:rsid w:val="6F2F4126"/>
    <w:rsid w:val="6F396F64"/>
    <w:rsid w:val="6F6E5034"/>
    <w:rsid w:val="6F814D09"/>
    <w:rsid w:val="6FAD2D94"/>
    <w:rsid w:val="6FBF1882"/>
    <w:rsid w:val="6FC40412"/>
    <w:rsid w:val="6FC512C7"/>
    <w:rsid w:val="6FDD529B"/>
    <w:rsid w:val="6FF72C1C"/>
    <w:rsid w:val="704B27CA"/>
    <w:rsid w:val="70517453"/>
    <w:rsid w:val="70906757"/>
    <w:rsid w:val="70DC17CE"/>
    <w:rsid w:val="70F23D09"/>
    <w:rsid w:val="710E48BB"/>
    <w:rsid w:val="7122764C"/>
    <w:rsid w:val="71266898"/>
    <w:rsid w:val="712C426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D0EDE"/>
    <w:rsid w:val="72632F3A"/>
    <w:rsid w:val="7282152E"/>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B0A69"/>
    <w:rsid w:val="741255AF"/>
    <w:rsid w:val="74263A6C"/>
    <w:rsid w:val="742D56D4"/>
    <w:rsid w:val="745D20F1"/>
    <w:rsid w:val="74785185"/>
    <w:rsid w:val="74A06C82"/>
    <w:rsid w:val="74B13AC0"/>
    <w:rsid w:val="74C645B6"/>
    <w:rsid w:val="74D71A77"/>
    <w:rsid w:val="74E41E3F"/>
    <w:rsid w:val="75006A13"/>
    <w:rsid w:val="75143C10"/>
    <w:rsid w:val="751E3E47"/>
    <w:rsid w:val="753C2ACE"/>
    <w:rsid w:val="753E6CEC"/>
    <w:rsid w:val="7553542F"/>
    <w:rsid w:val="75560F56"/>
    <w:rsid w:val="755D28D9"/>
    <w:rsid w:val="756C2266"/>
    <w:rsid w:val="7577343F"/>
    <w:rsid w:val="75B52CAC"/>
    <w:rsid w:val="75DE5787"/>
    <w:rsid w:val="75E2338B"/>
    <w:rsid w:val="75ED0ABD"/>
    <w:rsid w:val="75F87FD5"/>
    <w:rsid w:val="76171EA7"/>
    <w:rsid w:val="763253C4"/>
    <w:rsid w:val="764D7283"/>
    <w:rsid w:val="765760D0"/>
    <w:rsid w:val="76592AF4"/>
    <w:rsid w:val="767C6DED"/>
    <w:rsid w:val="76C87996"/>
    <w:rsid w:val="76C97F25"/>
    <w:rsid w:val="76CF1651"/>
    <w:rsid w:val="76EB4EFF"/>
    <w:rsid w:val="77147463"/>
    <w:rsid w:val="77266ECD"/>
    <w:rsid w:val="77274014"/>
    <w:rsid w:val="772E60A5"/>
    <w:rsid w:val="772F49B7"/>
    <w:rsid w:val="775B3643"/>
    <w:rsid w:val="7775620B"/>
    <w:rsid w:val="777E15A5"/>
    <w:rsid w:val="777E76EA"/>
    <w:rsid w:val="77E6256B"/>
    <w:rsid w:val="780178D3"/>
    <w:rsid w:val="78101057"/>
    <w:rsid w:val="78270079"/>
    <w:rsid w:val="785F2C67"/>
    <w:rsid w:val="789B03CD"/>
    <w:rsid w:val="78AF50A2"/>
    <w:rsid w:val="78D53072"/>
    <w:rsid w:val="78E72717"/>
    <w:rsid w:val="78FA33E7"/>
    <w:rsid w:val="790229FE"/>
    <w:rsid w:val="79071BED"/>
    <w:rsid w:val="79134DAF"/>
    <w:rsid w:val="791A2350"/>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423EEC"/>
    <w:rsid w:val="7A703649"/>
    <w:rsid w:val="7AA4325F"/>
    <w:rsid w:val="7AB65128"/>
    <w:rsid w:val="7AD60649"/>
    <w:rsid w:val="7ADA0531"/>
    <w:rsid w:val="7B1B4CE1"/>
    <w:rsid w:val="7B2E7ECD"/>
    <w:rsid w:val="7B305576"/>
    <w:rsid w:val="7B396537"/>
    <w:rsid w:val="7BA25186"/>
    <w:rsid w:val="7BAC3172"/>
    <w:rsid w:val="7BCA6449"/>
    <w:rsid w:val="7BEA37FA"/>
    <w:rsid w:val="7BF969EC"/>
    <w:rsid w:val="7C0569B5"/>
    <w:rsid w:val="7C14258F"/>
    <w:rsid w:val="7C3D1BF5"/>
    <w:rsid w:val="7C664B17"/>
    <w:rsid w:val="7C6C743E"/>
    <w:rsid w:val="7C736A5E"/>
    <w:rsid w:val="7C9A5A13"/>
    <w:rsid w:val="7CA70B1D"/>
    <w:rsid w:val="7CDA70F7"/>
    <w:rsid w:val="7CE43668"/>
    <w:rsid w:val="7CE4418A"/>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9D7FC8"/>
    <w:rsid w:val="7EB71685"/>
    <w:rsid w:val="7EC520CE"/>
    <w:rsid w:val="7ECD592F"/>
    <w:rsid w:val="7EEC24B0"/>
    <w:rsid w:val="7EF40344"/>
    <w:rsid w:val="7EF85335"/>
    <w:rsid w:val="7EFC617C"/>
    <w:rsid w:val="7F4133F6"/>
    <w:rsid w:val="7F8015A7"/>
    <w:rsid w:val="7F834860"/>
    <w:rsid w:val="7F9B1826"/>
    <w:rsid w:val="7FA41788"/>
    <w:rsid w:val="7FC91E5B"/>
    <w:rsid w:val="7FE17645"/>
    <w:rsid w:val="7FEC3D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beforeLines="0" w:after="290" w:afterLines="0" w:line="372" w:lineRule="auto"/>
      <w:outlineLvl w:val="4"/>
    </w:pPr>
    <w:rPr>
      <w:b/>
      <w:bCs/>
      <w:sz w:val="28"/>
      <w:szCs w:val="28"/>
    </w:rPr>
  </w:style>
  <w:style w:type="character" w:default="1" w:styleId="35">
    <w:name w:val="Default Paragraph Font"/>
    <w:semiHidden/>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40"/>
    <w:qFormat/>
    <w:uiPriority w:val="0"/>
    <w:rPr>
      <w:rFonts w:ascii="宋体"/>
      <w:sz w:val="24"/>
    </w:rPr>
  </w:style>
  <w:style w:type="paragraph" w:styleId="10">
    <w:name w:val="annotation text"/>
    <w:basedOn w:val="1"/>
    <w:link w:val="41"/>
    <w:qFormat/>
    <w:uiPriority w:val="99"/>
    <w:pPr>
      <w:widowControl/>
      <w:jc w:val="left"/>
    </w:pPr>
    <w:rPr>
      <w:kern w:val="0"/>
      <w:szCs w:val="20"/>
    </w:rPr>
  </w:style>
  <w:style w:type="paragraph" w:styleId="11">
    <w:name w:val="Body Text 3"/>
    <w:basedOn w:val="1"/>
    <w:qFormat/>
    <w:uiPriority w:val="0"/>
    <w:pPr>
      <w:spacing w:after="120"/>
    </w:pPr>
    <w:rPr>
      <w:sz w:val="16"/>
      <w:szCs w:val="16"/>
    </w:rPr>
  </w:style>
  <w:style w:type="paragraph" w:styleId="12">
    <w:name w:val="Body Text"/>
    <w:basedOn w:val="1"/>
    <w:next w:val="1"/>
    <w:qFormat/>
    <w:uiPriority w:val="0"/>
    <w:pPr>
      <w:spacing w:line="360" w:lineRule="auto"/>
    </w:pPr>
    <w:rPr>
      <w:szCs w:val="20"/>
    </w:rPr>
  </w:style>
  <w:style w:type="paragraph" w:styleId="13">
    <w:name w:val="Body Text Indent"/>
    <w:basedOn w:val="1"/>
    <w:qFormat/>
    <w:uiPriority w:val="0"/>
    <w:pPr>
      <w:widowControl w:val="0"/>
      <w:spacing w:line="360" w:lineRule="auto"/>
      <w:ind w:left="608" w:hanging="608"/>
      <w:jc w:val="both"/>
    </w:pPr>
    <w:rPr>
      <w:rFonts w:ascii="宋体"/>
      <w:sz w:val="28"/>
    </w:rPr>
  </w:style>
  <w:style w:type="paragraph" w:styleId="14">
    <w:name w:val="toc 5"/>
    <w:basedOn w:val="1"/>
    <w:next w:val="1"/>
    <w:qFormat/>
    <w:uiPriority w:val="0"/>
    <w:pPr>
      <w:ind w:left="1680"/>
    </w:pPr>
  </w:style>
  <w:style w:type="paragraph" w:styleId="15">
    <w:name w:val="toc 3"/>
    <w:basedOn w:val="1"/>
    <w:next w:val="1"/>
    <w:qFormat/>
    <w:uiPriority w:val="39"/>
    <w:pPr>
      <w:ind w:left="840" w:leftChars="400"/>
    </w:pPr>
  </w:style>
  <w:style w:type="paragraph" w:styleId="16">
    <w:name w:val="Plain Text"/>
    <w:basedOn w:val="1"/>
    <w:next w:val="1"/>
    <w:qFormat/>
    <w:uiPriority w:val="0"/>
    <w:rPr>
      <w:rFonts w:ascii="宋体" w:hAnsi="Courier New" w:cs="Courier New"/>
      <w:szCs w:val="21"/>
    </w:rPr>
  </w:style>
  <w:style w:type="paragraph" w:styleId="17">
    <w:name w:val="Date"/>
    <w:basedOn w:val="1"/>
    <w:next w:val="1"/>
    <w:qFormat/>
    <w:uiPriority w:val="0"/>
    <w:pPr>
      <w:widowControl w:val="0"/>
      <w:autoSpaceDE w:val="0"/>
      <w:autoSpaceDN w:val="0"/>
      <w:adjustRightInd w:val="0"/>
      <w:jc w:val="both"/>
      <w:textAlignment w:val="baseline"/>
    </w:pPr>
    <w:rPr>
      <w:rFonts w:ascii="宋体"/>
      <w:sz w:val="28"/>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42"/>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semiHidden/>
    <w:qFormat/>
    <w:uiPriority w:val="0"/>
    <w:rPr>
      <w:szCs w:val="20"/>
    </w:rPr>
  </w:style>
  <w:style w:type="paragraph" w:styleId="24">
    <w:name w:val="index 1"/>
    <w:basedOn w:val="1"/>
    <w:next w:val="1"/>
    <w:semiHidden/>
    <w:qFormat/>
    <w:uiPriority w:val="0"/>
  </w:style>
  <w:style w:type="paragraph" w:styleId="25">
    <w:name w:val="toc 6"/>
    <w:basedOn w:val="1"/>
    <w:next w:val="1"/>
    <w:qFormat/>
    <w:uiPriority w:val="99"/>
    <w:pPr>
      <w:ind w:left="2100" w:leftChars="1000"/>
    </w:pPr>
    <w:rPr>
      <w:rFonts w:ascii="Calibri" w:hAnsi="Calibri"/>
      <w:szCs w:val="22"/>
    </w:rPr>
  </w:style>
  <w:style w:type="paragraph" w:styleId="26">
    <w:name w:val="Body Text Indent 3"/>
    <w:basedOn w:val="1"/>
    <w:qFormat/>
    <w:uiPriority w:val="0"/>
    <w:pPr>
      <w:spacing w:line="360" w:lineRule="auto"/>
      <w:ind w:firstLine="420" w:firstLineChars="200"/>
    </w:pPr>
    <w:rPr>
      <w:szCs w:val="20"/>
    </w:rPr>
  </w:style>
  <w:style w:type="paragraph" w:styleId="27">
    <w:name w:val="toc 2"/>
    <w:basedOn w:val="1"/>
    <w:next w:val="1"/>
    <w:qFormat/>
    <w:uiPriority w:val="39"/>
    <w:pPr>
      <w:ind w:left="420" w:leftChars="200"/>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annotation subject"/>
    <w:basedOn w:val="10"/>
    <w:next w:val="10"/>
    <w:link w:val="43"/>
    <w:qFormat/>
    <w:uiPriority w:val="0"/>
    <w:pPr>
      <w:widowControl w:val="0"/>
    </w:pPr>
    <w:rPr>
      <w:b/>
      <w:bCs/>
      <w:kern w:val="2"/>
      <w:szCs w:val="24"/>
    </w:rPr>
  </w:style>
  <w:style w:type="paragraph" w:styleId="31">
    <w:name w:val="Body Text First Indent"/>
    <w:basedOn w:val="1"/>
    <w:next w:val="1"/>
    <w:qFormat/>
    <w:uiPriority w:val="0"/>
    <w:pPr>
      <w:spacing w:after="120"/>
      <w:ind w:firstLine="420" w:firstLineChars="100"/>
    </w:pPr>
  </w:style>
  <w:style w:type="paragraph" w:styleId="32">
    <w:name w:val="Body Text First Indent 2"/>
    <w:basedOn w:val="13"/>
    <w:qFormat/>
    <w:uiPriority w:val="0"/>
    <w:pPr>
      <w:snapToGrid w:val="0"/>
      <w:spacing w:after="120" w:afterLines="0"/>
      <w:ind w:left="420" w:firstLine="420" w:firstLineChars="200"/>
    </w:pPr>
    <w:rPr>
      <w:rFonts w:ascii="Tahoma" w:hAnsi="Tahoma"/>
      <w:kern w:val="2"/>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文档结构图 Char"/>
    <w:link w:val="9"/>
    <w:qFormat/>
    <w:uiPriority w:val="0"/>
    <w:rPr>
      <w:rFonts w:ascii="宋体"/>
      <w:kern w:val="2"/>
      <w:sz w:val="24"/>
      <w:szCs w:val="24"/>
    </w:rPr>
  </w:style>
  <w:style w:type="character" w:customStyle="1" w:styleId="41">
    <w:name w:val="批注文字 Char"/>
    <w:link w:val="10"/>
    <w:qFormat/>
    <w:uiPriority w:val="99"/>
    <w:rPr>
      <w:sz w:val="21"/>
    </w:rPr>
  </w:style>
  <w:style w:type="character" w:customStyle="1" w:styleId="42">
    <w:name w:val="批注框文本 Char"/>
    <w:link w:val="19"/>
    <w:qFormat/>
    <w:uiPriority w:val="0"/>
    <w:rPr>
      <w:kern w:val="2"/>
      <w:sz w:val="18"/>
      <w:szCs w:val="18"/>
    </w:rPr>
  </w:style>
  <w:style w:type="character" w:customStyle="1" w:styleId="43">
    <w:name w:val="批注主题 Char"/>
    <w:link w:val="30"/>
    <w:qFormat/>
    <w:uiPriority w:val="0"/>
    <w:rPr>
      <w:b/>
      <w:bCs/>
      <w:kern w:val="2"/>
      <w:sz w:val="21"/>
      <w:szCs w:val="24"/>
    </w:rPr>
  </w:style>
  <w:style w:type="paragraph" w:customStyle="1" w:styleId="44">
    <w:name w:val="样式 文字 + 首行缩进:  2 字符3"/>
    <w:basedOn w:val="1"/>
    <w:qFormat/>
    <w:uiPriority w:val="0"/>
    <w:pPr>
      <w:spacing w:line="360" w:lineRule="auto"/>
      <w:jc w:val="left"/>
    </w:pPr>
    <w:rPr>
      <w:rFonts w:ascii="Calibri" w:hAnsi="Calibri"/>
      <w:sz w:val="28"/>
      <w:szCs w:val="28"/>
    </w:rPr>
  </w:style>
  <w:style w:type="character" w:customStyle="1" w:styleId="45">
    <w:name w:val="font01"/>
    <w:basedOn w:val="35"/>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qFormat/>
    <w:uiPriority w:val="0"/>
  </w:style>
  <w:style w:type="character" w:customStyle="1" w:styleId="47">
    <w:name w:val="font11"/>
    <w:basedOn w:val="35"/>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qFormat/>
    <w:uiPriority w:val="0"/>
    <w:rPr>
      <w:rFonts w:ascii="Arial" w:hAnsi="Arial" w:cs="Arial"/>
      <w:bCs/>
      <w:sz w:val="24"/>
    </w:rPr>
  </w:style>
  <w:style w:type="paragraph" w:customStyle="1" w:styleId="52">
    <w:name w:val="题注5"/>
    <w:basedOn w:val="1"/>
    <w:next w:val="8"/>
    <w:qFormat/>
    <w:uiPriority w:val="0"/>
    <w:pPr>
      <w:jc w:val="center"/>
    </w:pPr>
    <w:rPr>
      <w:b/>
      <w:color w:val="000000"/>
      <w:sz w:val="24"/>
      <w:szCs w:val="21"/>
    </w:rPr>
  </w:style>
  <w:style w:type="paragraph" w:customStyle="1" w:styleId="53">
    <w:name w:val="Table Paragraph"/>
    <w:basedOn w:val="1"/>
    <w:qFormat/>
    <w:uiPriority w:val="1"/>
  </w:style>
  <w:style w:type="paragraph" w:styleId="54">
    <w:name w:val="List Paragraph"/>
    <w:basedOn w:val="1"/>
    <w:qFormat/>
    <w:uiPriority w:val="34"/>
    <w:pPr>
      <w:ind w:firstLine="420" w:firstLineChars="200"/>
    </w:pPr>
  </w:style>
  <w:style w:type="paragraph" w:customStyle="1" w:styleId="55">
    <w:name w:val="index 1"/>
    <w:basedOn w:val="1"/>
    <w:next w:val="1"/>
    <w:qFormat/>
    <w:uiPriority w:val="0"/>
    <w:pPr>
      <w:widowControl w:val="0"/>
      <w:jc w:val="center"/>
    </w:pPr>
    <w:rPr>
      <w:kern w:val="2"/>
      <w:szCs w:val="24"/>
    </w:rPr>
  </w:style>
  <w:style w:type="paragraph" w:customStyle="1" w:styleId="56">
    <w:name w:val="彩色列表1"/>
    <w:basedOn w:val="1"/>
    <w:qFormat/>
    <w:uiPriority w:val="34"/>
    <w:pPr>
      <w:ind w:firstLine="420" w:firstLineChars="200"/>
    </w:pPr>
  </w:style>
  <w:style w:type="paragraph" w:customStyle="1" w:styleId="57">
    <w:name w:val="样式 首行缩进:  0 字符"/>
    <w:basedOn w:val="1"/>
    <w:qFormat/>
    <w:uiPriority w:val="0"/>
  </w:style>
  <w:style w:type="paragraph" w:customStyle="1" w:styleId="58">
    <w:name w:val="普通(网站)1"/>
    <w:basedOn w:val="1"/>
    <w:qFormat/>
    <w:uiPriority w:val="0"/>
    <w:pPr>
      <w:widowControl/>
      <w:spacing w:beforeAutospacing="1" w:afterAutospacing="1"/>
      <w:jc w:val="left"/>
    </w:pPr>
    <w:rPr>
      <w:rFonts w:hAnsi="宋体" w:cs="宋体"/>
      <w:sz w:val="24"/>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12"/>
    <w:qFormat/>
    <w:uiPriority w:val="0"/>
    <w:pPr>
      <w:spacing w:before="25" w:after="25"/>
      <w:jc w:val="left"/>
    </w:pPr>
    <w:rPr>
      <w:bCs/>
      <w:spacing w:val="10"/>
      <w:kern w:val="0"/>
      <w:sz w:val="24"/>
      <w:szCs w:val="20"/>
    </w:rPr>
  </w:style>
  <w:style w:type="paragraph" w:customStyle="1" w:styleId="61">
    <w:name w:val="p0"/>
    <w:basedOn w:val="1"/>
    <w:qFormat/>
    <w:uiPriority w:val="0"/>
    <w:rPr>
      <w:szCs w:val="21"/>
    </w:rPr>
  </w:style>
  <w:style w:type="paragraph" w:customStyle="1" w:styleId="62">
    <w:name w:val="Char Char Char Char"/>
    <w:basedOn w:val="1"/>
    <w:qFormat/>
    <w:uiPriority w:val="0"/>
    <w:pPr>
      <w:widowControl w:val="0"/>
      <w:jc w:val="both"/>
    </w:pPr>
    <w:rPr>
      <w:rFonts w:ascii="Tahoma" w:hAnsi="Tahoma"/>
      <w:kern w:val="2"/>
      <w:sz w:val="24"/>
      <w:szCs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8"/>
    <w:qFormat/>
    <w:uiPriority w:val="0"/>
    <w:pPr>
      <w:ind w:left="-132" w:leftChars="-64" w:right="-105" w:rightChars="-50" w:hanging="2"/>
      <w:jc w:val="center"/>
    </w:pPr>
    <w:rPr>
      <w:b/>
      <w:color w:val="FF0000"/>
      <w:szCs w:val="21"/>
      <w:lang w:val="en-GB"/>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标题1"/>
    <w:basedOn w:val="1"/>
    <w:qFormat/>
    <w:uiPriority w:val="0"/>
    <w:pPr>
      <w:widowControl/>
      <w:spacing w:line="360" w:lineRule="auto"/>
      <w:jc w:val="center"/>
    </w:pPr>
    <w:rPr>
      <w:rFonts w:ascii="黑体" w:eastAsia="黑体"/>
      <w:b/>
      <w:kern w:val="0"/>
      <w:sz w:val="44"/>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qFormat/>
    <w:uiPriority w:val="0"/>
    <w:pPr>
      <w:spacing w:line="360" w:lineRule="auto"/>
      <w:ind w:firstLine="200" w:firstLineChars="200"/>
    </w:pPr>
    <w:rPr>
      <w:rFonts w:ascii="Arial" w:hAnsi="Arial"/>
      <w:b/>
      <w:sz w:val="24"/>
    </w:rPr>
  </w:style>
  <w:style w:type="paragraph" w:customStyle="1" w:styleId="71">
    <w:name w:val="正文（缩进）"/>
    <w:basedOn w:val="1"/>
    <w:qFormat/>
    <w:uiPriority w:val="0"/>
    <w:pPr>
      <w:spacing w:beforeLines="50" w:afterLines="50"/>
      <w:ind w:firstLine="480" w:firstLineChars="200"/>
    </w:pPr>
  </w:style>
  <w:style w:type="paragraph" w:customStyle="1" w:styleId="72">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eastAsia="宋体" w:cs="Times New Roman"/>
      <w:b/>
      <w:bCs/>
      <w:kern w:val="0"/>
      <w:sz w:val="36"/>
      <w:szCs w:val="36"/>
    </w:rPr>
  </w:style>
  <w:style w:type="character" w:customStyle="1" w:styleId="73">
    <w:name w:val="NormalCharacter"/>
    <w:semiHidden/>
    <w:qFormat/>
    <w:uiPriority w:val="0"/>
  </w:style>
  <w:style w:type="paragraph" w:customStyle="1" w:styleId="74">
    <w:name w:val="列出段落2"/>
    <w:basedOn w:val="1"/>
    <w:qFormat/>
    <w:uiPriority w:val="34"/>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5828</Words>
  <Characters>6110</Characters>
  <Lines>495</Lines>
  <Paragraphs>139</Paragraphs>
  <TotalTime>33</TotalTime>
  <ScaleCrop>false</ScaleCrop>
  <LinksUpToDate>false</LinksUpToDate>
  <CharactersWithSpaces>6460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熙蓝</cp:lastModifiedBy>
  <cp:lastPrinted>2023-10-11T09:43:42Z</cp:lastPrinted>
  <dcterms:modified xsi:type="dcterms:W3CDTF">2023-10-11T09:59:55Z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96A612C2817A4AA3A13AF0F99C860E13_13</vt:lpwstr>
  </property>
</Properties>
</file>