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jc w:val="center"/>
        <w:rPr>
          <w:rFonts w:hint="eastAsia" w:ascii="宋体" w:hAnsi="宋体" w:cs="宋体"/>
          <w:b/>
          <w:sz w:val="32"/>
          <w:szCs w:val="32"/>
        </w:rPr>
      </w:pPr>
    </w:p>
    <w:p>
      <w:pPr>
        <w:pStyle w:val="17"/>
        <w:adjustRightInd w:val="0"/>
        <w:snapToGrid w:val="0"/>
        <w:spacing w:line="360" w:lineRule="auto"/>
        <w:jc w:val="center"/>
        <w:rPr>
          <w:rFonts w:hAnsi="宋体" w:cs="宋体"/>
          <w:b/>
          <w:sz w:val="44"/>
          <w:szCs w:val="44"/>
          <w:lang w:val="zh-CN"/>
        </w:rPr>
      </w:pPr>
      <w:bookmarkStart w:id="0" w:name="_Toc22419"/>
    </w:p>
    <w:p>
      <w:pPr>
        <w:pStyle w:val="17"/>
        <w:adjustRightInd w:val="0"/>
        <w:snapToGrid w:val="0"/>
        <w:spacing w:line="360" w:lineRule="auto"/>
        <w:jc w:val="center"/>
        <w:rPr>
          <w:rFonts w:hAnsi="宋体" w:cs="宋体"/>
          <w:b/>
          <w:sz w:val="44"/>
          <w:szCs w:val="44"/>
          <w:lang w:val="zh-CN"/>
        </w:rPr>
      </w:pPr>
    </w:p>
    <w:p>
      <w:pPr>
        <w:pStyle w:val="17"/>
        <w:adjustRightInd w:val="0"/>
        <w:snapToGrid w:val="0"/>
        <w:spacing w:line="360" w:lineRule="auto"/>
        <w:jc w:val="center"/>
        <w:rPr>
          <w:rFonts w:hAnsi="宋体" w:cs="宋体"/>
          <w:b/>
          <w:kern w:val="0"/>
          <w:sz w:val="44"/>
          <w:szCs w:val="44"/>
        </w:rPr>
      </w:pPr>
      <w:r>
        <w:rPr>
          <w:rFonts w:hint="eastAsia" w:hAnsi="宋体" w:cs="宋体"/>
          <w:b/>
          <w:kern w:val="0"/>
          <w:sz w:val="52"/>
          <w:szCs w:val="52"/>
        </w:rPr>
        <w:t>中山市公共交通运输集团有限公司</w:t>
      </w:r>
    </w:p>
    <w:p>
      <w:pPr>
        <w:pStyle w:val="17"/>
        <w:adjustRightInd w:val="0"/>
        <w:snapToGrid w:val="0"/>
        <w:spacing w:line="360" w:lineRule="auto"/>
        <w:jc w:val="center"/>
        <w:rPr>
          <w:rFonts w:hAnsi="宋体" w:cs="宋体"/>
          <w:b/>
          <w:kern w:val="0"/>
          <w:sz w:val="44"/>
          <w:szCs w:val="44"/>
        </w:rPr>
      </w:pPr>
      <w:r>
        <w:rPr>
          <w:rFonts w:hint="eastAsia" w:hAnsi="宋体" w:cs="宋体"/>
          <w:b/>
          <w:kern w:val="0"/>
          <w:sz w:val="44"/>
          <w:szCs w:val="44"/>
          <w:lang w:val="en-US" w:eastAsia="zh-CN"/>
        </w:rPr>
        <w:t>深中跨市公交售票系统</w:t>
      </w:r>
      <w:r>
        <w:rPr>
          <w:rFonts w:hint="eastAsia" w:hAnsi="宋体" w:cs="宋体"/>
          <w:b/>
          <w:kern w:val="0"/>
          <w:sz w:val="44"/>
          <w:szCs w:val="44"/>
        </w:rPr>
        <w:t>采购项目</w:t>
      </w:r>
    </w:p>
    <w:p>
      <w:pPr>
        <w:widowControl/>
        <w:tabs>
          <w:tab w:val="left" w:pos="567"/>
        </w:tabs>
        <w:autoSpaceDE w:val="0"/>
        <w:autoSpaceDN w:val="0"/>
        <w:jc w:val="center"/>
        <w:textAlignment w:val="bottom"/>
        <w:rPr>
          <w:rFonts w:ascii="宋体" w:hAnsi="宋体" w:cs="宋体"/>
          <w:b/>
          <w:sz w:val="44"/>
          <w:szCs w:val="44"/>
        </w:rPr>
      </w:pPr>
      <w:bookmarkStart w:id="1" w:name="_Toc13975"/>
      <w:bookmarkStart w:id="2" w:name="_Toc29636"/>
    </w:p>
    <w:p>
      <w:pPr>
        <w:widowControl/>
        <w:tabs>
          <w:tab w:val="left" w:pos="567"/>
        </w:tabs>
        <w:autoSpaceDE w:val="0"/>
        <w:autoSpaceDN w:val="0"/>
        <w:jc w:val="center"/>
        <w:textAlignment w:val="bottom"/>
        <w:rPr>
          <w:rFonts w:ascii="宋体" w:hAnsi="宋体" w:cs="宋体"/>
          <w:sz w:val="96"/>
          <w:szCs w:val="28"/>
        </w:rPr>
      </w:pPr>
      <w:r>
        <w:rPr>
          <w:rFonts w:hint="eastAsia" w:ascii="宋体" w:hAnsi="宋体" w:cs="宋体"/>
          <w:b/>
          <w:bCs/>
          <w:sz w:val="96"/>
          <w:szCs w:val="28"/>
        </w:rPr>
        <w:t>采购文件</w:t>
      </w:r>
    </w:p>
    <w:bookmarkEnd w:id="1"/>
    <w:bookmarkEnd w:id="2"/>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b/>
          <w:sz w:val="44"/>
          <w:szCs w:val="44"/>
          <w:lang w:val="zh-CN"/>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p>
    <w:p>
      <w:pPr>
        <w:pStyle w:val="17"/>
        <w:adjustRightInd w:val="0"/>
        <w:snapToGrid w:val="0"/>
        <w:spacing w:line="360" w:lineRule="auto"/>
        <w:outlineLvl w:val="0"/>
        <w:rPr>
          <w:rFonts w:hAnsi="宋体" w:cs="宋体"/>
          <w:sz w:val="32"/>
          <w:szCs w:val="32"/>
        </w:rPr>
      </w:pPr>
    </w:p>
    <w:p>
      <w:pPr>
        <w:pStyle w:val="17"/>
        <w:adjustRightInd w:val="0"/>
        <w:snapToGrid w:val="0"/>
        <w:spacing w:line="360" w:lineRule="auto"/>
        <w:jc w:val="center"/>
        <w:outlineLvl w:val="0"/>
        <w:rPr>
          <w:rFonts w:hAnsi="宋体" w:cs="宋体"/>
          <w:sz w:val="32"/>
          <w:szCs w:val="32"/>
        </w:rPr>
      </w:pPr>
      <w:r>
        <w:rPr>
          <w:rFonts w:hint="eastAsia" w:hAnsi="宋体" w:cs="宋体"/>
          <w:sz w:val="32"/>
          <w:szCs w:val="32"/>
        </w:rPr>
        <w:t>中山市公共交通运输集团有限公司</w:t>
      </w:r>
      <w:bookmarkStart w:id="3" w:name="_Toc2576"/>
      <w:bookmarkStart w:id="4" w:name="_Toc14779"/>
    </w:p>
    <w:p>
      <w:pPr>
        <w:pStyle w:val="2"/>
        <w:ind w:firstLine="320"/>
        <w:jc w:val="center"/>
        <w:rPr>
          <w:rFonts w:ascii="宋体" w:hAnsi="宋体" w:cs="宋体"/>
          <w:b/>
          <w:sz w:val="44"/>
          <w:szCs w:val="44"/>
          <w:lang w:val="zh-CN"/>
        </w:rPr>
      </w:pPr>
      <w:r>
        <w:rPr>
          <w:rFonts w:hint="eastAsia" w:ascii="宋体" w:hAnsi="宋体" w:cs="宋体"/>
          <w:sz w:val="32"/>
          <w:szCs w:val="32"/>
        </w:rPr>
        <w:t>202</w:t>
      </w:r>
      <w:r>
        <w:rPr>
          <w:rFonts w:hint="eastAsia" w:ascii="宋体" w:hAnsi="宋体" w:cs="宋体"/>
          <w:sz w:val="32"/>
          <w:szCs w:val="32"/>
          <w:lang w:val="en-US" w:eastAsia="zh-CN"/>
        </w:rPr>
        <w:t>4</w:t>
      </w:r>
      <w:r>
        <w:rPr>
          <w:rFonts w:hint="eastAsia" w:ascii="宋体" w:hAnsi="宋体" w:cs="宋体"/>
          <w:sz w:val="32"/>
          <w:szCs w:val="32"/>
        </w:rPr>
        <w:t>年</w:t>
      </w:r>
      <w:r>
        <w:rPr>
          <w:rFonts w:hint="eastAsia" w:ascii="宋体" w:hAnsi="宋体" w:cs="宋体"/>
          <w:sz w:val="32"/>
          <w:szCs w:val="32"/>
          <w:lang w:val="en-US" w:eastAsia="zh-CN"/>
        </w:rPr>
        <w:t>2</w:t>
      </w:r>
      <w:r>
        <w:rPr>
          <w:rFonts w:hint="eastAsia" w:ascii="宋体" w:hAnsi="宋体" w:cs="宋体"/>
          <w:sz w:val="32"/>
          <w:szCs w:val="32"/>
        </w:rPr>
        <w:t>月</w:t>
      </w:r>
    </w:p>
    <w:p>
      <w:pPr>
        <w:spacing w:line="460" w:lineRule="exact"/>
        <w:jc w:val="center"/>
        <w:rPr>
          <w:rFonts w:ascii="宋体" w:hAnsi="宋体" w:cs="宋体"/>
          <w:b/>
          <w:sz w:val="44"/>
          <w:szCs w:val="28"/>
        </w:rPr>
      </w:pPr>
    </w:p>
    <w:p>
      <w:pPr>
        <w:spacing w:line="460" w:lineRule="exact"/>
        <w:jc w:val="center"/>
        <w:rPr>
          <w:rFonts w:ascii="宋体" w:hAnsi="宋体" w:cs="宋体"/>
          <w:b/>
          <w:sz w:val="44"/>
          <w:szCs w:val="28"/>
        </w:rPr>
      </w:pPr>
      <w:r>
        <w:rPr>
          <w:rFonts w:hint="eastAsia" w:ascii="宋体" w:hAnsi="宋体" w:cs="宋体"/>
          <w:b/>
          <w:sz w:val="44"/>
          <w:szCs w:val="28"/>
        </w:rPr>
        <w:br w:type="page"/>
      </w:r>
      <w:r>
        <w:rPr>
          <w:rFonts w:hint="eastAsia" w:ascii="宋体" w:hAnsi="宋体" w:cs="宋体"/>
          <w:b/>
          <w:sz w:val="44"/>
          <w:szCs w:val="28"/>
        </w:rPr>
        <w:t>目  录</w:t>
      </w:r>
    </w:p>
    <w:p>
      <w:pPr>
        <w:spacing w:line="460" w:lineRule="exact"/>
        <w:jc w:val="center"/>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第一部分  邀请函</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第二部分  用户需求书</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第三部分  评审标准</w:t>
      </w:r>
    </w:p>
    <w:p>
      <w:pPr>
        <w:spacing w:line="460" w:lineRule="exact"/>
        <w:rPr>
          <w:rFonts w:ascii="宋体" w:hAnsi="宋体" w:cs="宋体"/>
          <w:b/>
          <w:sz w:val="28"/>
          <w:szCs w:val="28"/>
        </w:rPr>
      </w:pPr>
    </w:p>
    <w:p>
      <w:pPr>
        <w:spacing w:line="460" w:lineRule="exact"/>
        <w:ind w:firstLine="562" w:firstLineChars="200"/>
        <w:rPr>
          <w:rFonts w:ascii="宋体" w:hAnsi="宋体" w:cs="宋体"/>
          <w:b/>
          <w:sz w:val="28"/>
          <w:szCs w:val="28"/>
        </w:rPr>
      </w:pPr>
      <w:r>
        <w:rPr>
          <w:rFonts w:hint="eastAsia" w:ascii="宋体" w:hAnsi="宋体" w:cs="宋体"/>
          <w:b/>
          <w:sz w:val="28"/>
          <w:szCs w:val="28"/>
        </w:rPr>
        <w:t>第四部分  参评响应文件格式</w:t>
      </w:r>
    </w:p>
    <w:p>
      <w:pPr>
        <w:pStyle w:val="17"/>
        <w:adjustRightInd w:val="0"/>
        <w:snapToGrid w:val="0"/>
        <w:spacing w:line="560" w:lineRule="exact"/>
        <w:jc w:val="center"/>
        <w:outlineLvl w:val="0"/>
        <w:rPr>
          <w:rFonts w:hAnsi="宋体" w:cs="宋体"/>
          <w:b/>
          <w:bCs/>
          <w:sz w:val="44"/>
          <w:szCs w:val="44"/>
        </w:rPr>
      </w:pPr>
    </w:p>
    <w:p>
      <w:pPr>
        <w:rPr>
          <w:rFonts w:ascii="宋体" w:hAnsi="宋体" w:cs="宋体"/>
          <w:b/>
          <w:bCs/>
          <w:sz w:val="44"/>
          <w:szCs w:val="44"/>
        </w:rPr>
      </w:pPr>
    </w:p>
    <w:p>
      <w:pPr>
        <w:pStyle w:val="2"/>
        <w:ind w:firstLine="442"/>
        <w:rPr>
          <w:rFonts w:ascii="宋体" w:hAnsi="宋体" w:cs="宋体"/>
          <w:b/>
          <w:bCs/>
          <w:sz w:val="44"/>
          <w:szCs w:val="44"/>
        </w:rPr>
      </w:pPr>
    </w:p>
    <w:p>
      <w:pPr>
        <w:rPr>
          <w:rFonts w:ascii="宋体" w:hAnsi="宋体" w:cs="宋体"/>
          <w:b/>
          <w:bCs/>
          <w:sz w:val="44"/>
          <w:szCs w:val="44"/>
        </w:rPr>
      </w:pPr>
    </w:p>
    <w:p>
      <w:pPr>
        <w:pStyle w:val="2"/>
        <w:ind w:firstLine="442"/>
        <w:rPr>
          <w:rFonts w:ascii="宋体" w:hAnsi="宋体" w:cs="宋体"/>
          <w:b/>
          <w:bCs/>
          <w:sz w:val="44"/>
          <w:szCs w:val="44"/>
        </w:rPr>
      </w:pPr>
    </w:p>
    <w:p>
      <w:pPr>
        <w:rPr>
          <w:rFonts w:ascii="宋体" w:hAnsi="宋体" w:cs="宋体"/>
          <w:b/>
          <w:bCs/>
          <w:sz w:val="44"/>
          <w:szCs w:val="44"/>
        </w:rPr>
      </w:pPr>
    </w:p>
    <w:p>
      <w:pPr>
        <w:pStyle w:val="2"/>
        <w:ind w:firstLine="442"/>
        <w:rPr>
          <w:rFonts w:ascii="宋体" w:hAnsi="宋体" w:cs="宋体"/>
          <w:b/>
          <w:bCs/>
          <w:sz w:val="44"/>
          <w:szCs w:val="44"/>
        </w:rPr>
      </w:pPr>
    </w:p>
    <w:p>
      <w:pPr>
        <w:rPr>
          <w:rFonts w:ascii="宋体" w:hAnsi="宋体" w:cs="宋体"/>
          <w:b/>
          <w:bCs/>
          <w:sz w:val="44"/>
          <w:szCs w:val="44"/>
        </w:rPr>
      </w:pPr>
    </w:p>
    <w:p>
      <w:pPr>
        <w:pStyle w:val="2"/>
        <w:ind w:firstLine="442"/>
        <w:rPr>
          <w:rFonts w:ascii="宋体" w:hAnsi="宋体" w:cs="宋体"/>
          <w:b/>
          <w:bCs/>
          <w:sz w:val="44"/>
          <w:szCs w:val="44"/>
        </w:rPr>
      </w:pPr>
    </w:p>
    <w:p>
      <w:pPr>
        <w:rPr>
          <w:rFonts w:ascii="宋体" w:hAnsi="宋体" w:cs="宋体"/>
          <w:b/>
          <w:bCs/>
          <w:sz w:val="44"/>
          <w:szCs w:val="44"/>
        </w:rPr>
      </w:pPr>
    </w:p>
    <w:p>
      <w:pPr>
        <w:pStyle w:val="44"/>
        <w:rPr>
          <w:rFonts w:ascii="宋体" w:hAnsi="宋体" w:cs="宋体"/>
          <w:b/>
          <w:bCs/>
          <w:sz w:val="44"/>
          <w:szCs w:val="44"/>
        </w:rPr>
      </w:pPr>
    </w:p>
    <w:p>
      <w:pPr>
        <w:pStyle w:val="44"/>
        <w:rPr>
          <w:rFonts w:ascii="宋体" w:hAnsi="宋体" w:cs="宋体"/>
          <w:b/>
          <w:bCs/>
          <w:sz w:val="44"/>
          <w:szCs w:val="44"/>
        </w:rPr>
      </w:pPr>
    </w:p>
    <w:p/>
    <w:p>
      <w:pPr>
        <w:pStyle w:val="17"/>
        <w:adjustRightInd w:val="0"/>
        <w:snapToGrid w:val="0"/>
        <w:spacing w:line="560" w:lineRule="exact"/>
        <w:jc w:val="center"/>
        <w:outlineLvl w:val="0"/>
        <w:rPr>
          <w:rFonts w:hAnsi="宋体" w:cs="宋体"/>
          <w:b/>
          <w:kern w:val="28"/>
          <w:sz w:val="44"/>
          <w:szCs w:val="44"/>
        </w:rPr>
      </w:pPr>
      <w:r>
        <w:rPr>
          <w:rFonts w:hint="eastAsia" w:hAnsi="宋体" w:cs="宋体"/>
          <w:b/>
          <w:bCs/>
          <w:sz w:val="44"/>
          <w:szCs w:val="44"/>
        </w:rPr>
        <w:br w:type="page"/>
      </w:r>
      <w:r>
        <w:rPr>
          <w:rFonts w:hint="eastAsia" w:hAnsi="宋体" w:cs="宋体"/>
          <w:b/>
          <w:bCs/>
          <w:sz w:val="44"/>
          <w:szCs w:val="44"/>
        </w:rPr>
        <w:t>第一部分  邀请函</w:t>
      </w:r>
    </w:p>
    <w:p>
      <w:pPr>
        <w:spacing w:line="560" w:lineRule="exact"/>
        <w:jc w:val="left"/>
        <w:rPr>
          <w:rFonts w:ascii="宋体" w:hAnsi="宋体" w:cs="宋体"/>
          <w:spacing w:val="20"/>
          <w:sz w:val="24"/>
        </w:rPr>
      </w:pPr>
    </w:p>
    <w:p>
      <w:pPr>
        <w:spacing w:line="560" w:lineRule="exact"/>
        <w:jc w:val="left"/>
        <w:rPr>
          <w:rFonts w:ascii="宋体" w:hAnsi="宋体" w:cs="宋体"/>
          <w:spacing w:val="20"/>
          <w:sz w:val="24"/>
        </w:rPr>
      </w:pPr>
      <w:bookmarkStart w:id="26" w:name="_GoBack"/>
      <w:r>
        <w:rPr>
          <w:rFonts w:hint="eastAsia" w:ascii="宋体" w:hAnsi="宋体" w:cs="宋体"/>
          <w:spacing w:val="20"/>
          <w:sz w:val="24"/>
        </w:rPr>
        <w:t>各潜在供应商：</w:t>
      </w:r>
    </w:p>
    <w:p>
      <w:pPr>
        <w:spacing w:line="560" w:lineRule="exact"/>
        <w:ind w:firstLine="480" w:firstLineChars="200"/>
        <w:rPr>
          <w:rFonts w:hint="eastAsia" w:ascii="宋体" w:hAnsi="宋体" w:cs="宋体"/>
          <w:sz w:val="24"/>
        </w:rPr>
      </w:pPr>
      <w:r>
        <w:rPr>
          <w:rFonts w:hint="eastAsia" w:ascii="宋体" w:hAnsi="宋体" w:cs="宋体"/>
          <w:sz w:val="24"/>
        </w:rPr>
        <w:t>现就中山市公共交通运输集团有限公司</w:t>
      </w:r>
      <w:r>
        <w:rPr>
          <w:rFonts w:hint="eastAsia" w:ascii="宋体" w:hAnsi="宋体" w:cs="宋体"/>
          <w:sz w:val="24"/>
          <w:lang w:eastAsia="zh-CN"/>
        </w:rPr>
        <w:t>（</w:t>
      </w:r>
      <w:r>
        <w:rPr>
          <w:rFonts w:hint="eastAsia" w:ascii="宋体" w:hAnsi="宋体" w:cs="宋体"/>
          <w:sz w:val="24"/>
          <w:lang w:val="en-US" w:eastAsia="zh-CN"/>
        </w:rPr>
        <w:t>下称采购人</w:t>
      </w:r>
      <w:r>
        <w:rPr>
          <w:rFonts w:hint="eastAsia" w:ascii="宋体" w:hAnsi="宋体" w:cs="宋体"/>
          <w:sz w:val="24"/>
          <w:lang w:eastAsia="zh-CN"/>
        </w:rPr>
        <w:t>）</w:t>
      </w:r>
      <w:r>
        <w:rPr>
          <w:rFonts w:hint="eastAsia" w:ascii="宋体" w:hAnsi="宋体" w:cs="宋体"/>
          <w:sz w:val="24"/>
          <w:lang w:val="en-US" w:eastAsia="zh-CN"/>
        </w:rPr>
        <w:t>深中跨市公交售票系统采购项目</w:t>
      </w:r>
      <w:r>
        <w:rPr>
          <w:rFonts w:hint="eastAsia" w:ascii="宋体" w:hAnsi="宋体" w:cs="宋体"/>
          <w:sz w:val="24"/>
        </w:rPr>
        <w:t>进行公开采购，欢迎符合资格条件的供应商参与评选，有关事项如下：</w:t>
      </w:r>
    </w:p>
    <w:p>
      <w:pPr>
        <w:spacing w:line="560" w:lineRule="exact"/>
        <w:ind w:firstLine="482" w:firstLineChars="200"/>
        <w:rPr>
          <w:rFonts w:ascii="宋体" w:hAnsi="宋体" w:cs="宋体"/>
          <w:sz w:val="24"/>
        </w:rPr>
      </w:pPr>
      <w:r>
        <w:rPr>
          <w:rFonts w:hint="eastAsia" w:ascii="宋体" w:hAnsi="宋体" w:cs="宋体"/>
          <w:b/>
          <w:bCs/>
          <w:sz w:val="24"/>
        </w:rPr>
        <w:t>一、项目名称：</w:t>
      </w:r>
      <w:r>
        <w:rPr>
          <w:rFonts w:hint="eastAsia" w:ascii="宋体" w:hAnsi="宋体" w:cs="宋体"/>
          <w:sz w:val="24"/>
        </w:rPr>
        <w:t>中山市公共交通运输集团有限公司</w:t>
      </w:r>
      <w:r>
        <w:rPr>
          <w:rFonts w:hint="eastAsia" w:ascii="宋体" w:hAnsi="宋体" w:cs="宋体"/>
          <w:spacing w:val="20"/>
          <w:sz w:val="24"/>
          <w:lang w:val="en-US" w:eastAsia="zh-CN"/>
        </w:rPr>
        <w:t>深中跨市公交售票系统采购</w:t>
      </w:r>
      <w:r>
        <w:rPr>
          <w:rFonts w:hint="eastAsia" w:ascii="宋体" w:hAnsi="宋体" w:cs="宋体"/>
          <w:sz w:val="24"/>
        </w:rPr>
        <w:t>项目</w:t>
      </w:r>
    </w:p>
    <w:p>
      <w:pPr>
        <w:spacing w:line="560" w:lineRule="exact"/>
        <w:ind w:firstLine="482" w:firstLineChars="200"/>
        <w:rPr>
          <w:rFonts w:ascii="宋体" w:hAnsi="宋体" w:cs="宋体"/>
          <w:sz w:val="24"/>
        </w:rPr>
      </w:pPr>
      <w:r>
        <w:rPr>
          <w:rFonts w:hint="eastAsia" w:ascii="宋体" w:hAnsi="宋体" w:cs="宋体"/>
          <w:b/>
          <w:bCs/>
          <w:sz w:val="24"/>
        </w:rPr>
        <w:t>二、项目要求：</w:t>
      </w:r>
      <w:r>
        <w:rPr>
          <w:rFonts w:hint="eastAsia" w:ascii="宋体" w:hAnsi="宋体" w:cs="宋体"/>
          <w:sz w:val="24"/>
        </w:rPr>
        <w:t>详细技术参数见第二部分《用户需求书》</w:t>
      </w:r>
    </w:p>
    <w:p>
      <w:pPr>
        <w:spacing w:line="560" w:lineRule="exact"/>
        <w:ind w:firstLine="482" w:firstLineChars="200"/>
        <w:rPr>
          <w:rFonts w:ascii="宋体" w:hAnsi="宋体" w:cs="宋体"/>
          <w:b/>
          <w:bCs/>
          <w:sz w:val="24"/>
        </w:rPr>
      </w:pPr>
      <w:r>
        <w:rPr>
          <w:rFonts w:hint="eastAsia" w:ascii="宋体" w:hAnsi="宋体" w:cs="宋体"/>
          <w:b/>
          <w:bCs/>
          <w:sz w:val="24"/>
        </w:rPr>
        <w:t>三、资金来源：</w:t>
      </w:r>
      <w:r>
        <w:rPr>
          <w:rFonts w:hint="eastAsia" w:ascii="宋体" w:hAnsi="宋体" w:cs="宋体"/>
          <w:sz w:val="24"/>
        </w:rPr>
        <w:t>自筹资金</w:t>
      </w:r>
    </w:p>
    <w:p>
      <w:pPr>
        <w:spacing w:line="560" w:lineRule="exact"/>
        <w:ind w:firstLine="482" w:firstLineChars="200"/>
        <w:rPr>
          <w:rFonts w:ascii="宋体" w:hAnsi="宋体" w:cs="宋体"/>
          <w:b/>
          <w:bCs/>
          <w:sz w:val="24"/>
        </w:rPr>
      </w:pPr>
      <w:r>
        <w:rPr>
          <w:rFonts w:hint="eastAsia" w:ascii="宋体" w:hAnsi="宋体" w:cs="宋体"/>
          <w:b/>
          <w:bCs/>
          <w:sz w:val="24"/>
        </w:rPr>
        <w:t>四、预算金额：</w:t>
      </w:r>
      <w:r>
        <w:rPr>
          <w:rFonts w:hint="eastAsia" w:ascii="宋体" w:hAnsi="宋体" w:eastAsia="宋体" w:cs="宋体"/>
          <w:sz w:val="24"/>
        </w:rPr>
        <w:t>不高于¥</w:t>
      </w:r>
      <w:r>
        <w:rPr>
          <w:rFonts w:hint="eastAsia" w:ascii="宋体" w:hAnsi="宋体" w:eastAsia="宋体" w:cs="宋体"/>
          <w:sz w:val="24"/>
          <w:lang w:val="en-US" w:eastAsia="zh-CN"/>
        </w:rPr>
        <w:t>299</w:t>
      </w:r>
      <w:r>
        <w:rPr>
          <w:rFonts w:hint="eastAsia" w:ascii="宋体" w:hAnsi="宋体" w:eastAsia="宋体" w:cs="宋体"/>
          <w:sz w:val="24"/>
        </w:rPr>
        <w:t>,</w:t>
      </w:r>
      <w:r>
        <w:rPr>
          <w:rFonts w:hint="eastAsia" w:ascii="宋体" w:hAnsi="宋体" w:eastAsia="宋体" w:cs="宋体"/>
          <w:sz w:val="24"/>
          <w:lang w:val="en-US" w:eastAsia="zh-CN"/>
        </w:rPr>
        <w:t>980</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元</w:t>
      </w:r>
    </w:p>
    <w:p>
      <w:pPr>
        <w:spacing w:line="560" w:lineRule="exact"/>
        <w:ind w:firstLine="482" w:firstLineChars="200"/>
        <w:rPr>
          <w:rFonts w:ascii="宋体" w:hAnsi="宋体" w:cs="宋体"/>
          <w:b/>
          <w:bCs/>
          <w:sz w:val="24"/>
        </w:rPr>
      </w:pPr>
      <w:r>
        <w:rPr>
          <w:rFonts w:hint="eastAsia" w:ascii="宋体" w:hAnsi="宋体" w:cs="宋体"/>
          <w:b/>
          <w:bCs/>
          <w:sz w:val="24"/>
        </w:rPr>
        <w:t>五、项目内容：</w:t>
      </w:r>
    </w:p>
    <w:p>
      <w:pPr>
        <w:spacing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建设一套售票系统，主要包括售票管理平台后台、</w:t>
      </w:r>
      <w:r>
        <w:rPr>
          <w:rFonts w:hint="eastAsia" w:ascii="宋体" w:hAnsi="宋体" w:eastAsia="宋体" w:cs="宋体"/>
          <w:sz w:val="24"/>
        </w:rPr>
        <w:t>移动乘客端、移动司机端</w:t>
      </w:r>
      <w:r>
        <w:rPr>
          <w:rFonts w:hint="eastAsia" w:ascii="宋体" w:hAnsi="宋体" w:eastAsia="宋体" w:cs="宋体"/>
          <w:sz w:val="24"/>
          <w:lang w:val="en-US" w:eastAsia="zh-CN"/>
        </w:rPr>
        <w:t>、车载验票端等。整套系统配合完成线路制定、排班管理、临时加班、乘客购票、上车验票等全过程线上购票流程。</w:t>
      </w:r>
    </w:p>
    <w:p>
      <w:pPr>
        <w:spacing w:line="560" w:lineRule="exact"/>
        <w:ind w:firstLine="482" w:firstLineChars="200"/>
        <w:rPr>
          <w:rFonts w:ascii="宋体" w:hAnsi="宋体" w:cs="宋体"/>
          <w:b/>
          <w:bCs/>
          <w:sz w:val="24"/>
        </w:rPr>
      </w:pPr>
      <w:r>
        <w:rPr>
          <w:rFonts w:hint="eastAsia" w:ascii="宋体" w:hAnsi="宋体" w:cs="宋体"/>
          <w:b/>
          <w:bCs/>
          <w:sz w:val="24"/>
        </w:rPr>
        <w:t>六、合格供应商资格要求</w:t>
      </w:r>
    </w:p>
    <w:p>
      <w:pPr>
        <w:spacing w:line="560" w:lineRule="exact"/>
        <w:ind w:firstLine="480" w:firstLineChars="200"/>
        <w:rPr>
          <w:rFonts w:ascii="宋体" w:hAnsi="宋体" w:cs="宋体"/>
          <w:sz w:val="24"/>
        </w:rPr>
      </w:pPr>
      <w:r>
        <w:rPr>
          <w:rFonts w:hint="eastAsia" w:ascii="宋体" w:hAnsi="宋体" w:cs="宋体"/>
          <w:sz w:val="24"/>
        </w:rPr>
        <w:t>（一）具有独立承担民事责任能力的在中华人民共和国境内注册的企业法人或其他社会组织，提供营业执照等。</w:t>
      </w:r>
    </w:p>
    <w:p>
      <w:pPr>
        <w:spacing w:line="560" w:lineRule="exact"/>
        <w:ind w:firstLine="480" w:firstLineChars="200"/>
        <w:rPr>
          <w:rFonts w:ascii="宋体" w:hAnsi="宋体" w:cs="宋体"/>
          <w:sz w:val="24"/>
        </w:rPr>
      </w:pPr>
      <w:r>
        <w:rPr>
          <w:rFonts w:hint="eastAsia" w:ascii="宋体" w:hAnsi="宋体" w:cs="宋体"/>
          <w:sz w:val="24"/>
        </w:rPr>
        <w:t>（二）</w:t>
      </w:r>
      <w:r>
        <w:rPr>
          <w:rFonts w:hint="eastAsia" w:ascii="宋体" w:hAnsi="宋体" w:cs="宋体"/>
          <w:sz w:val="24"/>
          <w:lang w:val="en-US" w:eastAsia="zh-CN"/>
        </w:rPr>
        <w:t>经营范围包括软件开发、信息系统集成</w:t>
      </w:r>
      <w:r>
        <w:rPr>
          <w:rFonts w:hint="eastAsia" w:ascii="宋体" w:hAnsi="宋体" w:cs="宋体"/>
          <w:sz w:val="24"/>
        </w:rPr>
        <w:t>等相关</w:t>
      </w:r>
      <w:r>
        <w:rPr>
          <w:rFonts w:hint="eastAsia" w:ascii="宋体" w:hAnsi="宋体" w:cs="宋体"/>
          <w:sz w:val="24"/>
          <w:lang w:val="en-US" w:eastAsia="zh-CN"/>
        </w:rPr>
        <w:t>经营范围</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（三）供应商承诺不得以任何方式转包或分包本项目。</w:t>
      </w:r>
    </w:p>
    <w:p>
      <w:pPr>
        <w:spacing w:line="560" w:lineRule="exact"/>
        <w:ind w:firstLine="480" w:firstLineChars="200"/>
        <w:rPr>
          <w:rFonts w:ascii="宋体" w:hAnsi="宋体" w:cs="宋体"/>
          <w:sz w:val="24"/>
        </w:rPr>
      </w:pPr>
      <w:r>
        <w:rPr>
          <w:rFonts w:hint="eastAsia" w:ascii="宋体" w:hAnsi="宋体" w:cs="宋体"/>
          <w:sz w:val="24"/>
        </w:rPr>
        <w:t>（四）参评供应商满足本项目的主要需求，填写《需求响应表》并全部完全响应，无负偏离。</w:t>
      </w:r>
    </w:p>
    <w:p>
      <w:pPr>
        <w:spacing w:line="560" w:lineRule="exact"/>
        <w:ind w:firstLine="480" w:firstLineChars="200"/>
        <w:rPr>
          <w:rFonts w:ascii="宋体" w:hAnsi="宋体" w:cs="宋体"/>
          <w:sz w:val="24"/>
        </w:rPr>
      </w:pPr>
      <w:r>
        <w:rPr>
          <w:rFonts w:hint="eastAsia" w:ascii="宋体" w:hAnsi="宋体" w:cs="宋体"/>
          <w:sz w:val="24"/>
        </w:rPr>
        <w:t>（五）非联合体潜在供应商参评报价。</w:t>
      </w:r>
    </w:p>
    <w:p>
      <w:pPr>
        <w:spacing w:line="560" w:lineRule="exact"/>
        <w:ind w:firstLine="480" w:firstLineChars="200"/>
        <w:rPr>
          <w:rFonts w:ascii="宋体" w:hAnsi="宋体" w:cs="宋体"/>
          <w:sz w:val="24"/>
        </w:rPr>
      </w:pPr>
      <w:r>
        <w:rPr>
          <w:rFonts w:hint="eastAsia" w:ascii="宋体" w:hAnsi="宋体" w:cs="宋体"/>
          <w:sz w:val="24"/>
        </w:rPr>
        <w:t>（六）报价为唯一固定价且未超过报价</w:t>
      </w:r>
      <w:r>
        <w:rPr>
          <w:rFonts w:hint="eastAsia" w:ascii="宋体" w:hAnsi="宋体" w:cs="宋体"/>
          <w:sz w:val="24"/>
          <w:lang w:val="en-US" w:eastAsia="zh-CN"/>
        </w:rPr>
        <w:t>上限</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（七）供应商承诺所提供材料真实、准确，并随时接受采购人核实查验。</w:t>
      </w:r>
    </w:p>
    <w:p>
      <w:pPr>
        <w:spacing w:line="560" w:lineRule="exact"/>
        <w:ind w:firstLine="482" w:firstLineChars="200"/>
        <w:rPr>
          <w:rFonts w:ascii="宋体" w:hAnsi="宋体" w:cs="宋体"/>
          <w:b/>
          <w:bCs/>
          <w:sz w:val="24"/>
        </w:rPr>
      </w:pPr>
      <w:r>
        <w:rPr>
          <w:rFonts w:hint="eastAsia" w:ascii="宋体" w:hAnsi="宋体" w:cs="宋体"/>
          <w:b/>
          <w:bCs/>
          <w:sz w:val="24"/>
        </w:rPr>
        <w:t>七、获取公开采购文件</w:t>
      </w:r>
    </w:p>
    <w:p>
      <w:pPr>
        <w:spacing w:line="560" w:lineRule="exact"/>
        <w:ind w:firstLine="480" w:firstLineChars="200"/>
        <w:rPr>
          <w:rFonts w:ascii="宋体" w:hAnsi="宋体" w:cs="宋体"/>
          <w:sz w:val="24"/>
        </w:rPr>
      </w:pPr>
      <w:r>
        <w:rPr>
          <w:rFonts w:hint="eastAsia" w:ascii="宋体" w:hAnsi="宋体" w:cs="宋体"/>
          <w:sz w:val="24"/>
        </w:rPr>
        <w:t>（一）本项目的采购公告信息在中山市公共交通运输集团有限公司官方网站（https://www.zsbus.cn）及中山产权服务网（http://zscq.zsnews.cn/）上公布，并视为有效送达，不再另行通知。</w:t>
      </w:r>
    </w:p>
    <w:p>
      <w:pPr>
        <w:spacing w:line="560" w:lineRule="exact"/>
        <w:ind w:firstLine="480" w:firstLineChars="200"/>
        <w:rPr>
          <w:rFonts w:ascii="宋体" w:hAnsi="宋体" w:cs="宋体"/>
          <w:sz w:val="24"/>
        </w:rPr>
      </w:pPr>
      <w:r>
        <w:rPr>
          <w:rFonts w:hint="eastAsia" w:ascii="宋体" w:hAnsi="宋体" w:cs="宋体"/>
          <w:sz w:val="24"/>
        </w:rPr>
        <w:t>（二）符合资格的供应商自行在有关公告网站下载采购文件。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2" w:firstLineChars="200"/>
        <w:rPr>
          <w:rFonts w:ascii="宋体" w:hAnsi="宋体" w:cs="宋体"/>
          <w:b/>
          <w:bCs/>
          <w:sz w:val="24"/>
        </w:rPr>
      </w:pPr>
      <w:r>
        <w:rPr>
          <w:rFonts w:hint="eastAsia" w:ascii="宋体" w:hAnsi="宋体" w:cs="宋体"/>
          <w:b/>
          <w:bCs/>
          <w:sz w:val="24"/>
        </w:rPr>
        <w:t>八、报名要求</w:t>
      </w:r>
    </w:p>
    <w:p>
      <w:pPr>
        <w:spacing w:line="560" w:lineRule="exact"/>
        <w:ind w:firstLine="480" w:firstLineChars="200"/>
        <w:rPr>
          <w:rFonts w:hint="eastAsia" w:ascii="宋体" w:hAnsi="宋体" w:cs="宋体"/>
          <w:sz w:val="24"/>
        </w:rPr>
      </w:pPr>
      <w:r>
        <w:rPr>
          <w:rFonts w:hint="eastAsia" w:ascii="宋体" w:hAnsi="宋体" w:cs="宋体"/>
          <w:sz w:val="24"/>
        </w:rPr>
        <w:t>（一）报名方式：供应商自行获取采购文件后，需在报名时间截止前提交一份参评文件，参评文件格式要求详见第四部分《参评文件格式》；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18</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，超时不接受任何供应商报名。</w:t>
      </w:r>
      <w:r>
        <w:rPr>
          <w:rFonts w:hint="eastAsia" w:ascii="宋体" w:hAnsi="宋体" w:cs="宋体"/>
          <w:sz w:val="24"/>
        </w:rPr>
        <w:t>（以采购人收到参评文件时间为准）。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）供应商应在参评文件递交时间截止前提交一份参评文件，参评文件格式要求详见第四部分《参评文件格式》；</w:t>
      </w:r>
      <w:r>
        <w:rPr>
          <w:rFonts w:hint="eastAsia" w:ascii="宋体" w:hAnsi="宋体" w:cs="宋体"/>
          <w:b/>
          <w:bCs/>
          <w:sz w:val="24"/>
          <w:highlight w:val="none"/>
          <w:u w:val="single"/>
        </w:rPr>
        <w:t>参评文件要求独立装订成册（使用夹子或回形针夹住视为没有独立装订成册），按格式规定签字或盖章并加盖公章，密封提交。</w:t>
      </w:r>
    </w:p>
    <w:p>
      <w:pPr>
        <w:spacing w:line="5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）参评文件递交或邮寄地址：广东省中山市</w:t>
      </w:r>
      <w:r>
        <w:rPr>
          <w:rFonts w:hint="eastAsia" w:ascii="宋体" w:hAnsi="宋体" w:cs="宋体"/>
          <w:sz w:val="24"/>
          <w:lang w:val="en-US" w:eastAsia="zh-CN"/>
        </w:rPr>
        <w:t>南区城南三路中山公交集团307室</w:t>
      </w:r>
      <w:r>
        <w:rPr>
          <w:rFonts w:hint="eastAsia" w:ascii="宋体" w:hAnsi="宋体" w:cs="宋体"/>
          <w:sz w:val="24"/>
        </w:rPr>
        <w:t>王先生（18165633823）收。</w:t>
      </w:r>
    </w:p>
    <w:p>
      <w:pPr>
        <w:spacing w:line="560" w:lineRule="exact"/>
        <w:ind w:firstLine="482" w:firstLineChars="200"/>
        <w:rPr>
          <w:rFonts w:ascii="宋体" w:hAnsi="宋体" w:cs="宋体"/>
          <w:b/>
          <w:bCs/>
          <w:sz w:val="24"/>
        </w:rPr>
      </w:pPr>
      <w:r>
        <w:rPr>
          <w:rFonts w:hint="eastAsia" w:ascii="宋体" w:hAnsi="宋体" w:cs="宋体"/>
          <w:b/>
          <w:bCs/>
          <w:sz w:val="24"/>
        </w:rPr>
        <w:t>九、项目评审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0" w:firstLineChars="200"/>
        <w:rPr>
          <w:rFonts w:ascii="宋体" w:hAnsi="宋体" w:cs="宋体"/>
          <w:sz w:val="24"/>
        </w:rPr>
      </w:pPr>
      <w:r>
        <w:rPr>
          <w:rFonts w:hint="eastAsia" w:ascii="宋体" w:hAnsi="宋体" w:cs="宋体"/>
          <w:sz w:val="24"/>
        </w:rPr>
        <w:t>（二）评审地点：中山公交集团城南办公楼会议室，评审时供应商无需到场参加。</w:t>
      </w:r>
    </w:p>
    <w:p>
      <w:pPr>
        <w:spacing w:line="560" w:lineRule="exact"/>
        <w:ind w:firstLine="482" w:firstLineChars="200"/>
        <w:rPr>
          <w:rFonts w:ascii="宋体" w:hAnsi="宋体" w:cs="宋体"/>
          <w:b/>
          <w:bCs/>
          <w:sz w:val="24"/>
        </w:rPr>
      </w:pPr>
      <w:r>
        <w:rPr>
          <w:rFonts w:hint="eastAsia" w:ascii="宋体" w:hAnsi="宋体" w:cs="宋体"/>
          <w:b/>
          <w:bCs/>
          <w:sz w:val="24"/>
        </w:rPr>
        <w:t>十、评审结果公示</w:t>
      </w:r>
    </w:p>
    <w:p>
      <w:pPr>
        <w:spacing w:line="560" w:lineRule="exact"/>
        <w:ind w:firstLine="480" w:firstLineChars="200"/>
        <w:rPr>
          <w:rFonts w:ascii="宋体" w:hAnsi="宋体" w:cs="宋体"/>
          <w:sz w:val="24"/>
        </w:rPr>
      </w:pPr>
      <w:r>
        <w:rPr>
          <w:rFonts w:hint="eastAsia" w:ascii="宋体" w:hAnsi="宋体" w:cs="宋体"/>
          <w:sz w:val="24"/>
        </w:rPr>
        <w:t>评审结束后，采购人将在中山市公共交通运输集团有限公司官方网站（https://www.zsbus.cn）及中山产权服务网（http://zscq.zsnews.cn/）上进行结果公示，公示期2日。如果参评供应商对此次评审结果有异议的，可在公示期内向采购人书面提出，但需对异议内容的真实性承担责任。采购人应自收到书面异议原件之日起3日内作出答复，并在答复前暂停本项目评</w:t>
      </w:r>
      <w:r>
        <w:rPr>
          <w:rFonts w:hint="eastAsia" w:ascii="宋体" w:hAnsi="宋体" w:cs="宋体"/>
          <w:sz w:val="24"/>
          <w:lang w:val="en-US" w:eastAsia="zh-CN"/>
        </w:rPr>
        <w:t>审</w:t>
      </w:r>
      <w:r>
        <w:rPr>
          <w:rFonts w:hint="eastAsia" w:ascii="宋体" w:hAnsi="宋体" w:cs="宋体"/>
          <w:sz w:val="24"/>
        </w:rPr>
        <w:t>活动。</w:t>
      </w:r>
    </w:p>
    <w:p>
      <w:pPr>
        <w:spacing w:line="560" w:lineRule="exact"/>
        <w:ind w:firstLine="482" w:firstLineChars="200"/>
        <w:rPr>
          <w:rFonts w:ascii="宋体" w:hAnsi="宋体" w:cs="宋体"/>
          <w:b/>
          <w:bCs/>
          <w:sz w:val="24"/>
        </w:rPr>
      </w:pPr>
      <w:r>
        <w:rPr>
          <w:rFonts w:hint="eastAsia" w:ascii="宋体" w:hAnsi="宋体" w:cs="宋体"/>
          <w:b/>
          <w:bCs/>
          <w:sz w:val="24"/>
        </w:rPr>
        <w:t>十一、采购人联系方式</w:t>
      </w:r>
    </w:p>
    <w:p>
      <w:pPr>
        <w:spacing w:line="560" w:lineRule="exact"/>
        <w:ind w:firstLine="480" w:firstLineChars="200"/>
        <w:rPr>
          <w:rFonts w:ascii="宋体" w:hAnsi="宋体" w:cs="宋体"/>
          <w:sz w:val="24"/>
        </w:rPr>
      </w:pPr>
      <w:r>
        <w:rPr>
          <w:rFonts w:hint="eastAsia" w:ascii="宋体" w:hAnsi="宋体" w:cs="宋体"/>
          <w:sz w:val="24"/>
        </w:rPr>
        <w:t>（一）采购人联系电话：王先生18165633823</w:t>
      </w:r>
    </w:p>
    <w:p>
      <w:pPr>
        <w:spacing w:line="560" w:lineRule="exact"/>
        <w:ind w:firstLine="480" w:firstLineChars="200"/>
        <w:jc w:val="left"/>
        <w:rPr>
          <w:rFonts w:ascii="宋体" w:hAnsi="宋体" w:cs="宋体"/>
          <w:bCs/>
          <w:sz w:val="44"/>
          <w:szCs w:val="32"/>
        </w:rPr>
      </w:pPr>
      <w:r>
        <w:rPr>
          <w:rFonts w:hint="eastAsia" w:ascii="宋体" w:hAnsi="宋体" w:cs="宋体"/>
          <w:sz w:val="24"/>
        </w:rPr>
        <w:t>（二）采购人联系地址：中山市南区城南三路38号</w:t>
      </w:r>
    </w:p>
    <w:p>
      <w:pPr>
        <w:spacing w:line="560" w:lineRule="exact"/>
        <w:jc w:val="left"/>
        <w:rPr>
          <w:rFonts w:ascii="宋体" w:hAnsi="宋体" w:cs="宋体"/>
          <w:sz w:val="24"/>
        </w:rPr>
      </w:pPr>
    </w:p>
    <w:p>
      <w:pPr>
        <w:adjustRightInd w:val="0"/>
        <w:snapToGrid w:val="0"/>
        <w:spacing w:before="24" w:beforeLines="10" w:after="24" w:afterLines="10" w:line="360" w:lineRule="auto"/>
        <w:jc w:val="right"/>
        <w:rPr>
          <w:rFonts w:ascii="宋体" w:hAnsi="宋体"/>
          <w:bCs/>
          <w:sz w:val="24"/>
        </w:rPr>
      </w:pPr>
      <w:r>
        <w:rPr>
          <w:rFonts w:hint="eastAsia" w:ascii="宋体" w:hAnsi="宋体"/>
          <w:kern w:val="0"/>
          <w:sz w:val="24"/>
        </w:rPr>
        <w:t>中山市公共交通运输集团有限公司</w:t>
      </w:r>
    </w:p>
    <w:p>
      <w:pPr>
        <w:widowControl/>
        <w:tabs>
          <w:tab w:val="left" w:pos="142"/>
          <w:tab w:val="left" w:pos="426"/>
        </w:tabs>
        <w:adjustRightInd w:val="0"/>
        <w:spacing w:line="360" w:lineRule="auto"/>
        <w:ind w:firstLine="6720" w:firstLineChars="2800"/>
        <w:jc w:val="left"/>
        <w:rPr>
          <w:rFonts w:ascii="宋体" w:hAnsi="宋体"/>
          <w:bCs/>
          <w:kern w:val="0"/>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cols w:space="720" w:num="1"/>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p>
    <w:bookmarkEnd w:id="26"/>
    <w:p/>
    <w:p>
      <w:pPr>
        <w:pStyle w:val="17"/>
        <w:adjustRightInd w:val="0"/>
        <w:snapToGrid w:val="0"/>
        <w:spacing w:line="560" w:lineRule="exact"/>
        <w:jc w:val="center"/>
        <w:outlineLvl w:val="0"/>
        <w:rPr>
          <w:rFonts w:hAnsi="宋体" w:cs="宋体"/>
          <w:b/>
          <w:bCs/>
          <w:sz w:val="44"/>
          <w:szCs w:val="44"/>
        </w:rPr>
      </w:pPr>
      <w:r>
        <w:rPr>
          <w:rFonts w:hint="eastAsia" w:hAnsi="宋体" w:cs="宋体"/>
          <w:b/>
          <w:bCs/>
          <w:sz w:val="44"/>
          <w:szCs w:val="44"/>
        </w:rPr>
        <w:t>第二部分  用户需求书</w:t>
      </w:r>
    </w:p>
    <w:bookmarkEnd w:id="3"/>
    <w:p>
      <w:pPr>
        <w:numPr>
          <w:ilvl w:val="0"/>
          <w:numId w:val="2"/>
        </w:numPr>
        <w:spacing w:line="560" w:lineRule="exact"/>
        <w:ind w:left="425" w:leftChars="0" w:hanging="425" w:firstLineChars="0"/>
        <w:rPr>
          <w:rFonts w:hint="eastAsia" w:ascii="宋体" w:hAnsi="宋体" w:cs="宋体"/>
          <w:b/>
          <w:bCs/>
          <w:sz w:val="24"/>
        </w:rPr>
      </w:pPr>
      <w:r>
        <w:rPr>
          <w:rFonts w:hint="eastAsia" w:ascii="宋体" w:hAnsi="宋体" w:cs="宋体"/>
          <w:b/>
          <w:bCs/>
          <w:sz w:val="24"/>
          <w:lang w:val="en-US" w:eastAsia="zh-CN"/>
        </w:rPr>
        <w:t>总体要求</w:t>
      </w:r>
    </w:p>
    <w:p>
      <w:pPr>
        <w:pStyle w:val="6"/>
        <w:keepNext/>
        <w:keepLines/>
        <w:pageBreakBefore w:val="0"/>
        <w:widowControl/>
        <w:numPr>
          <w:ilvl w:val="0"/>
          <w:numId w:val="3"/>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用户需求书中的服务指标为最低要求。</w:t>
      </w:r>
    </w:p>
    <w:p>
      <w:pPr>
        <w:pStyle w:val="6"/>
        <w:keepNext/>
        <w:keepLines/>
        <w:pageBreakBefore w:val="0"/>
        <w:widowControl/>
        <w:numPr>
          <w:ilvl w:val="0"/>
          <w:numId w:val="3"/>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本采购文件中凡标有星号“★”的地方均被视为重要的响应要求。供应商要特别加以注意且必须对此作出回答并完全满足这些要求。任何负偏离都有可能导致失去参评资格。</w:t>
      </w:r>
    </w:p>
    <w:p>
      <w:pPr>
        <w:numPr>
          <w:ilvl w:val="0"/>
          <w:numId w:val="2"/>
        </w:numPr>
        <w:spacing w:line="560" w:lineRule="exact"/>
        <w:ind w:left="425" w:leftChars="0" w:hanging="425" w:firstLineChars="0"/>
        <w:rPr>
          <w:rFonts w:hint="eastAsia" w:ascii="宋体" w:hAnsi="宋体" w:cs="宋体"/>
          <w:b/>
          <w:bCs/>
          <w:sz w:val="24"/>
        </w:rPr>
      </w:pPr>
      <w:r>
        <w:rPr>
          <w:rFonts w:hint="eastAsia" w:ascii="宋体" w:hAnsi="宋体" w:cs="宋体"/>
          <w:b/>
          <w:bCs/>
          <w:sz w:val="24"/>
          <w:lang w:val="en-US" w:eastAsia="zh-CN"/>
        </w:rPr>
        <w:t>项目概要</w:t>
      </w:r>
    </w:p>
    <w:p>
      <w:pPr>
        <w:numPr>
          <w:ilvl w:val="0"/>
          <w:numId w:val="4"/>
        </w:numPr>
        <w:spacing w:line="560" w:lineRule="exact"/>
        <w:ind w:left="0" w:leftChars="0" w:firstLine="420" w:firstLineChars="0"/>
        <w:rPr>
          <w:rFonts w:ascii="宋体" w:hAnsi="宋体" w:cs="宋体"/>
          <w:sz w:val="24"/>
        </w:rPr>
      </w:pPr>
      <w:r>
        <w:rPr>
          <w:rFonts w:hint="eastAsia" w:ascii="宋体" w:hAnsi="宋体" w:cs="宋体"/>
          <w:sz w:val="24"/>
        </w:rPr>
        <w:t>项目名称：中山市公共交通运输集团有限公司</w:t>
      </w:r>
      <w:r>
        <w:rPr>
          <w:rFonts w:hint="eastAsia" w:ascii="宋体" w:hAnsi="宋体" w:cs="宋体"/>
          <w:spacing w:val="20"/>
          <w:sz w:val="24"/>
          <w:lang w:val="en-US" w:eastAsia="zh-CN"/>
        </w:rPr>
        <w:t>深中跨市公交售票系统采购</w:t>
      </w:r>
      <w:r>
        <w:rPr>
          <w:rFonts w:hint="eastAsia" w:ascii="宋体" w:hAnsi="宋体" w:cs="宋体"/>
          <w:sz w:val="24"/>
        </w:rPr>
        <w:t>项目</w:t>
      </w:r>
    </w:p>
    <w:p>
      <w:pPr>
        <w:numPr>
          <w:ilvl w:val="0"/>
          <w:numId w:val="4"/>
        </w:numPr>
        <w:spacing w:line="560" w:lineRule="exact"/>
        <w:ind w:left="0" w:leftChars="0" w:firstLine="420" w:firstLineChars="0"/>
        <w:rPr>
          <w:rFonts w:hint="eastAsia" w:ascii="宋体" w:hAnsi="宋体" w:eastAsia="宋体" w:cs="宋体"/>
          <w:sz w:val="24"/>
        </w:rPr>
      </w:pPr>
      <w:r>
        <w:rPr>
          <w:rFonts w:hint="eastAsia" w:ascii="宋体" w:hAnsi="宋体" w:eastAsia="宋体" w:cs="宋体"/>
          <w:sz w:val="24"/>
        </w:rPr>
        <w:t>预算金额及报价上限：不高于¥</w:t>
      </w:r>
      <w:r>
        <w:rPr>
          <w:rFonts w:hint="eastAsia" w:ascii="宋体" w:hAnsi="宋体" w:eastAsia="宋体" w:cs="宋体"/>
          <w:sz w:val="24"/>
          <w:lang w:val="en-US" w:eastAsia="zh-CN"/>
        </w:rPr>
        <w:t>299</w:t>
      </w:r>
      <w:r>
        <w:rPr>
          <w:rFonts w:hint="eastAsia" w:ascii="宋体" w:hAnsi="宋体" w:eastAsia="宋体" w:cs="宋体"/>
          <w:sz w:val="24"/>
        </w:rPr>
        <w:t>,</w:t>
      </w:r>
      <w:r>
        <w:rPr>
          <w:rFonts w:hint="eastAsia" w:ascii="宋体" w:hAnsi="宋体" w:eastAsia="宋体" w:cs="宋体"/>
          <w:sz w:val="24"/>
          <w:lang w:val="en-US" w:eastAsia="zh-CN"/>
        </w:rPr>
        <w:t>980</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元。</w:t>
      </w:r>
    </w:p>
    <w:p>
      <w:pPr>
        <w:numPr>
          <w:ilvl w:val="0"/>
          <w:numId w:val="4"/>
        </w:numPr>
        <w:spacing w:line="560" w:lineRule="exact"/>
        <w:ind w:left="0" w:leftChars="0" w:firstLine="420" w:firstLineChars="0"/>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项目</w:t>
      </w:r>
      <w:r>
        <w:rPr>
          <w:rFonts w:hint="eastAsia" w:ascii="宋体" w:hAnsi="宋体" w:cs="宋体"/>
          <w:sz w:val="24"/>
          <w:lang w:val="en-US" w:eastAsia="zh-CN"/>
        </w:rPr>
        <w:t>合同</w:t>
      </w:r>
      <w:r>
        <w:rPr>
          <w:rFonts w:hint="eastAsia" w:ascii="宋体" w:hAnsi="宋体" w:eastAsia="宋体" w:cs="宋体"/>
          <w:sz w:val="24"/>
          <w:lang w:val="en-US" w:eastAsia="zh-CN"/>
        </w:rPr>
        <w:t>期：供应商在收到中选通知书之日起50</w:t>
      </w:r>
      <w:r>
        <w:rPr>
          <w:rFonts w:hint="eastAsia" w:ascii="宋体" w:hAnsi="宋体" w:eastAsia="宋体" w:cs="宋体"/>
          <w:sz w:val="24"/>
          <w:lang w:val="en-US" w:eastAsia="zh-Hans"/>
        </w:rPr>
        <w:t>天</w:t>
      </w:r>
      <w:r>
        <w:rPr>
          <w:rFonts w:hint="eastAsia" w:ascii="宋体" w:hAnsi="宋体" w:eastAsia="宋体" w:cs="宋体"/>
          <w:sz w:val="24"/>
          <w:lang w:val="en-US" w:eastAsia="zh-CN"/>
        </w:rPr>
        <w:t>内</w:t>
      </w:r>
      <w:r>
        <w:rPr>
          <w:rFonts w:hint="eastAsia" w:ascii="宋体" w:hAnsi="宋体" w:eastAsia="宋体" w:cs="宋体"/>
          <w:sz w:val="24"/>
          <w:lang w:val="en-US" w:eastAsia="zh-Hans"/>
        </w:rPr>
        <w:t>完成项目整体交付</w:t>
      </w:r>
      <w:r>
        <w:rPr>
          <w:rFonts w:hint="eastAsia" w:ascii="宋体" w:hAnsi="宋体" w:eastAsia="宋体" w:cs="宋体"/>
          <w:sz w:val="24"/>
          <w:lang w:val="en-US" w:eastAsia="zh-CN"/>
        </w:rPr>
        <w:t>，验收通过之日起提供一年免费质保期。</w:t>
      </w:r>
    </w:p>
    <w:p>
      <w:pPr>
        <w:numPr>
          <w:ilvl w:val="0"/>
          <w:numId w:val="4"/>
        </w:numPr>
        <w:spacing w:line="560" w:lineRule="exact"/>
        <w:ind w:left="0" w:leftChars="0" w:firstLine="420" w:firstLineChars="0"/>
        <w:rPr>
          <w:rFonts w:hint="default" w:ascii="宋体" w:hAnsi="宋体" w:eastAsia="宋体" w:cs="宋体"/>
          <w:sz w:val="24"/>
          <w:lang w:val="en-US" w:eastAsia="zh-CN"/>
        </w:rPr>
      </w:pPr>
      <w:r>
        <w:rPr>
          <w:rFonts w:hint="eastAsia" w:ascii="宋体" w:hAnsi="宋体" w:eastAsia="宋体" w:cs="宋体"/>
          <w:sz w:val="24"/>
          <w:lang w:val="en-US" w:eastAsia="zh-CN"/>
        </w:rPr>
        <w:t>付款方式:合同签订后，支付30%合同金额；项目上线并验收通过后，支付至90%合同金额；项目质保期结束后，支付至100%合同金额。</w:t>
      </w:r>
    </w:p>
    <w:p>
      <w:pPr>
        <w:numPr>
          <w:ilvl w:val="0"/>
          <w:numId w:val="2"/>
        </w:numPr>
        <w:spacing w:line="56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lang w:val="en-US" w:eastAsia="zh-CN"/>
        </w:rPr>
        <w:t>系统</w:t>
      </w:r>
      <w:r>
        <w:rPr>
          <w:rFonts w:hint="eastAsia" w:ascii="宋体" w:hAnsi="宋体" w:eastAsia="宋体" w:cs="宋体"/>
          <w:b/>
          <w:bCs/>
          <w:sz w:val="24"/>
        </w:rPr>
        <w:t>需求</w:t>
      </w:r>
    </w:p>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管理后台</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基础信息</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公司管理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管理公司名称、地址、类型等基本信息。</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车队管理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管理公司车队信息，如车队所属公司、车队编号、车队名称、联系人和联系方式等基本信息，车辆设置时也可以选择对应的车队。</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车型管理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设置车辆类型、车辆等级等信息，可设置车型开启或关闭状态。</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车辆管理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管理车辆基本信息(支持从智能调度系统同步)，设置车辆车牌号、车型、座位数</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所属车队</w:t>
      </w:r>
      <w:r>
        <w:rPr>
          <w:rFonts w:hint="eastAsia" w:asciiTheme="minorEastAsia" w:hAnsiTheme="minorEastAsia" w:eastAsiaTheme="minorEastAsia" w:cstheme="minorEastAsia"/>
          <w:b w:val="0"/>
          <w:bCs w:val="0"/>
          <w:color w:val="000000"/>
          <w:kern w:val="0"/>
          <w:sz w:val="24"/>
          <w:szCs w:val="24"/>
          <w:highlight w:val="none"/>
          <w:lang w:val="en-US" w:eastAsia="zh-CN"/>
        </w:rPr>
        <w:t>等信息。</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司机管理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管理司机基本信息(支持从智能调度系统同步)，包含司机姓名、工号、联系电话等，司机可以通过工号或者手机号登录司机端。</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站点管理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在运营管理平台，管理员可在后台查看到站点库中的所有站点，可对已有站点进行启用/停用操作。亦可根据运营需求，新增站点。</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线路管理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线路基础信息设置，设置线路编号、名称</w:t>
      </w:r>
      <w:r>
        <w:rPr>
          <w:rFonts w:hint="eastAsia" w:asciiTheme="minorEastAsia" w:hAnsiTheme="minorEastAsia" w:eastAsiaTheme="minorEastAsia" w:cstheme="minorEastAsia"/>
          <w:b w:val="0"/>
          <w:bCs w:val="0"/>
          <w:color w:val="000000"/>
          <w:kern w:val="0"/>
          <w:sz w:val="24"/>
          <w:szCs w:val="24"/>
        </w:rPr>
        <w:t>、出发地、目的地</w:t>
      </w:r>
      <w:r>
        <w:rPr>
          <w:rFonts w:hint="eastAsia" w:asciiTheme="minorEastAsia" w:hAnsiTheme="minorEastAsia" w:eastAsiaTheme="minorEastAsia" w:cstheme="minorEastAsia"/>
          <w:b w:val="0"/>
          <w:bCs w:val="0"/>
          <w:color w:val="000000"/>
          <w:kern w:val="0"/>
          <w:sz w:val="24"/>
          <w:szCs w:val="24"/>
          <w:highlight w:val="none"/>
          <w:lang w:val="en-US" w:eastAsia="zh-CN"/>
        </w:rPr>
        <w:t>、途经站点信息，途经站点信息包含站点名称、里程和行驶时间。</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票种管理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支持全票、半票、免儿童票、残疾人证(盲人证)、军残票、中山老人票等各类票型设置管理。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rPr>
      </w:pPr>
      <w:r>
        <w:rPr>
          <w:rFonts w:hint="eastAsia" w:asciiTheme="minorEastAsia" w:hAnsiTheme="minorEastAsia" w:eastAsiaTheme="minorEastAsia" w:cstheme="minorEastAsia"/>
          <w:b w:val="0"/>
          <w:bCs w:val="0"/>
          <w:color w:val="000000"/>
          <w:kern w:val="0"/>
          <w:sz w:val="24"/>
          <w:szCs w:val="24"/>
          <w:highlight w:val="none"/>
          <w:lang w:val="en-US" w:eastAsia="zh-CN"/>
        </w:rPr>
        <w:t>在</w:t>
      </w:r>
      <w:r>
        <w:rPr>
          <w:rFonts w:hint="eastAsia" w:asciiTheme="minorEastAsia" w:hAnsiTheme="minorEastAsia" w:eastAsiaTheme="minorEastAsia" w:cstheme="minorEastAsia"/>
          <w:b w:val="0"/>
          <w:bCs w:val="0"/>
          <w:color w:val="000000"/>
          <w:kern w:val="0"/>
          <w:sz w:val="24"/>
          <w:szCs w:val="24"/>
          <w:highlight w:val="none"/>
        </w:rPr>
        <w:t>中山通</w:t>
      </w:r>
      <w:r>
        <w:rPr>
          <w:rFonts w:hint="eastAsia" w:asciiTheme="minorEastAsia" w:hAnsiTheme="minorEastAsia" w:eastAsiaTheme="minorEastAsia" w:cstheme="minorEastAsia"/>
          <w:b w:val="0"/>
          <w:bCs w:val="0"/>
          <w:color w:val="000000"/>
          <w:kern w:val="0"/>
          <w:sz w:val="24"/>
          <w:szCs w:val="24"/>
          <w:highlight w:val="none"/>
          <w:lang w:val="en-US" w:eastAsia="zh-CN"/>
        </w:rPr>
        <w:t>登记为中山市</w:t>
      </w:r>
      <w:r>
        <w:rPr>
          <w:rFonts w:hint="eastAsia" w:asciiTheme="minorEastAsia" w:hAnsiTheme="minorEastAsia" w:eastAsiaTheme="minorEastAsia" w:cstheme="minorEastAsia"/>
          <w:b w:val="0"/>
          <w:bCs w:val="0"/>
          <w:color w:val="000000"/>
          <w:kern w:val="0"/>
          <w:sz w:val="24"/>
          <w:szCs w:val="24"/>
          <w:highlight w:val="none"/>
        </w:rPr>
        <w:t>老人</w:t>
      </w:r>
      <w:r>
        <w:rPr>
          <w:rFonts w:hint="eastAsia" w:asciiTheme="minorEastAsia" w:hAnsiTheme="minorEastAsia" w:eastAsiaTheme="minorEastAsia" w:cstheme="minorEastAsia"/>
          <w:b w:val="0"/>
          <w:bCs w:val="0"/>
          <w:color w:val="000000"/>
          <w:kern w:val="0"/>
          <w:sz w:val="24"/>
          <w:szCs w:val="24"/>
          <w:highlight w:val="none"/>
          <w:lang w:val="en-US" w:eastAsia="zh-CN"/>
        </w:rPr>
        <w:t>的乘客</w:t>
      </w:r>
      <w:r>
        <w:rPr>
          <w:rFonts w:hint="eastAsia" w:asciiTheme="minorEastAsia" w:hAnsiTheme="minorEastAsia" w:eastAsiaTheme="minorEastAsia" w:cstheme="minorEastAsia"/>
          <w:b w:val="0"/>
          <w:bCs w:val="0"/>
          <w:color w:val="000000"/>
          <w:kern w:val="0"/>
          <w:sz w:val="24"/>
          <w:szCs w:val="24"/>
          <w:highlight w:val="none"/>
        </w:rPr>
        <w:t>，乘坐深中跨市公交</w:t>
      </w:r>
      <w:r>
        <w:rPr>
          <w:rFonts w:hint="eastAsia" w:asciiTheme="minorEastAsia" w:hAnsiTheme="minorEastAsia" w:eastAsiaTheme="minorEastAsia" w:cstheme="minorEastAsia"/>
          <w:b w:val="0"/>
          <w:bCs w:val="0"/>
          <w:color w:val="000000"/>
          <w:kern w:val="0"/>
          <w:sz w:val="24"/>
          <w:szCs w:val="24"/>
          <w:highlight w:val="none"/>
          <w:lang w:val="en-US" w:eastAsia="zh-CN"/>
        </w:rPr>
        <w:t>可</w:t>
      </w:r>
      <w:r>
        <w:rPr>
          <w:rFonts w:hint="eastAsia" w:asciiTheme="minorEastAsia" w:hAnsiTheme="minorEastAsia" w:eastAsiaTheme="minorEastAsia" w:cstheme="minorEastAsia"/>
          <w:b w:val="0"/>
          <w:bCs w:val="0"/>
          <w:color w:val="000000"/>
          <w:kern w:val="0"/>
          <w:sz w:val="24"/>
          <w:szCs w:val="24"/>
          <w:highlight w:val="none"/>
        </w:rPr>
        <w:t>享优惠</w:t>
      </w:r>
      <w:r>
        <w:rPr>
          <w:rFonts w:hint="eastAsia" w:asciiTheme="minorEastAsia" w:hAnsiTheme="minorEastAsia" w:eastAsiaTheme="minorEastAsia" w:cstheme="minorEastAsia"/>
          <w:b w:val="0"/>
          <w:bCs w:val="0"/>
          <w:color w:val="000000"/>
          <w:kern w:val="0"/>
          <w:sz w:val="24"/>
          <w:szCs w:val="24"/>
          <w:highlight w:val="none"/>
          <w:lang w:val="en-US" w:eastAsia="zh-CN"/>
        </w:rPr>
        <w:t>折扣，折扣自定义设置。</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残疾群体享受优惠购票前，需要实现人、证核验。线上登记时，上传残疾人证(盲人证)、军残票，通过在线人脸识别完成核验工作。</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除全票外的其他优惠群体购票时，需要首次实名登记，并且每次仅可预约单向一票次，存在当次方向未完成行程的（或未到期的），不可再次购票。</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rPr>
      </w:pPr>
      <w:r>
        <w:rPr>
          <w:rFonts w:hint="eastAsia" w:asciiTheme="minorEastAsia" w:hAnsiTheme="minorEastAsia" w:eastAsiaTheme="minorEastAsia" w:cstheme="minorEastAsia"/>
          <w:b w:val="0"/>
          <w:bCs w:val="0"/>
          <w:color w:val="000000"/>
          <w:kern w:val="0"/>
          <w:sz w:val="24"/>
          <w:szCs w:val="24"/>
          <w:highlight w:val="none"/>
        </w:rPr>
        <w:t>设备管理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rPr>
        <w:t>支持车载机基本信息管理，管理车载机设备号、车载机软件版本号等信息。</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调度管理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业务调度管理，为班次分配车辆、司机、管理票价，对班次进行临时加班、调整班</w:t>
      </w:r>
      <w:r>
        <w:rPr>
          <w:rFonts w:hint="eastAsia" w:asciiTheme="minorEastAsia" w:hAnsiTheme="minorEastAsia" w:eastAsiaTheme="minorEastAsia" w:cstheme="minorEastAsia"/>
          <w:b w:val="0"/>
          <w:bCs w:val="0"/>
          <w:color w:val="000000"/>
          <w:kern w:val="0"/>
          <w:sz w:val="24"/>
          <w:szCs w:val="24"/>
          <w:highlight w:val="none"/>
          <w:lang w:val="en-US" w:eastAsia="zh-CN"/>
        </w:rPr>
        <w:t>次预售期、班次停班和开班等业务管理。</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班次管理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管理班次实时计划，基本信息包含发车时间、起始站点、结束站点、可售票人数、已购票人数、剩余座位、班次状态、票价等基础信息，支持根据日期范围、班次状态、线路编号或线路名称筛选。支持查询班次购票详情，包含乘车人、购票时间、上下车站点、购票方式、支付金额、车票状态等基础信息。</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班次座位管理，在开始售票后，需要按可售座位数进行售票，不允许出现超售；在乘客超过支付时间或取消订单时，系统需要实时释放可售座位。</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紧急加班</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如遇到特殊时间，如节假日等，实现增加发车班次，同时增派车辆和司机管理，解决突发客流暴增，快速加派运力，减轻客流疏散压力。</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停班</w:t>
      </w:r>
      <w:r>
        <w:rPr>
          <w:rFonts w:hint="eastAsia" w:asciiTheme="minorEastAsia" w:hAnsiTheme="minorEastAsia" w:eastAsiaTheme="minorEastAsia" w:cstheme="minorEastAsia"/>
          <w:b w:val="0"/>
          <w:bCs w:val="0"/>
          <w:color w:val="000000"/>
          <w:kern w:val="0"/>
          <w:sz w:val="24"/>
          <w:szCs w:val="24"/>
        </w:rPr>
        <w:t>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如遇</w:t>
      </w:r>
      <w:r>
        <w:rPr>
          <w:rFonts w:hint="eastAsia" w:asciiTheme="minorEastAsia" w:hAnsiTheme="minorEastAsia" w:eastAsiaTheme="minorEastAsia" w:cstheme="minorEastAsia"/>
          <w:b w:val="0"/>
          <w:bCs w:val="0"/>
          <w:color w:val="000000"/>
          <w:kern w:val="0"/>
          <w:sz w:val="24"/>
          <w:szCs w:val="24"/>
          <w:lang w:val="en-US" w:eastAsia="zh-CN"/>
        </w:rPr>
        <w:t>特殊情况，如天气原因，车辆故障等，可对班次进行停班、停班后可批量操作通知客户、退款等功能</w:t>
      </w:r>
      <w:r>
        <w:rPr>
          <w:rFonts w:hint="eastAsia" w:asciiTheme="minorEastAsia" w:hAnsiTheme="minorEastAsia" w:eastAsiaTheme="minorEastAsia" w:cstheme="minorEastAsia"/>
          <w:b w:val="0"/>
          <w:bCs w:val="0"/>
          <w:color w:val="000000"/>
          <w:kern w:val="0"/>
          <w:sz w:val="24"/>
          <w:szCs w:val="24"/>
        </w:rPr>
        <w:t>。</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票价管理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管理班次票价，支持按班次、线路批量调整票价。如物价调整、节假日期间，支持批量调整班次票价信息。</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售票模块</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为了解决客流高峰、特殊人群和突发情况，</w:t>
      </w:r>
      <w:r>
        <w:rPr>
          <w:rFonts w:hint="eastAsia" w:asciiTheme="minorEastAsia" w:hAnsiTheme="minorEastAsia" w:eastAsiaTheme="minorEastAsia" w:cstheme="minorEastAsia"/>
          <w:color w:val="000000"/>
          <w:kern w:val="0"/>
          <w:sz w:val="24"/>
          <w:szCs w:val="24"/>
          <w:highlight w:val="none"/>
          <w:lang w:val="en-US" w:eastAsia="zh-CN"/>
        </w:rPr>
        <w:t>枢纽站配置的人工窗口</w:t>
      </w:r>
      <w:r>
        <w:rPr>
          <w:rFonts w:hint="eastAsia" w:asciiTheme="minorEastAsia" w:hAnsiTheme="minorEastAsia" w:eastAsiaTheme="minorEastAsia" w:cstheme="minorEastAsia"/>
          <w:color w:val="000000"/>
          <w:kern w:val="0"/>
          <w:sz w:val="24"/>
          <w:szCs w:val="24"/>
          <w:highlight w:val="none"/>
        </w:rPr>
        <w:t>售票需要提供售票、改签、退票等功能。</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售票</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提供人工窗口售票功能，界面简洁、功能操作简单，方便工作人员可以快速熟悉系统操作。窗口售票需要支持全票、半票、免儿童票、残疾人证(盲人证)、军残票、中山老人票等人群购票、退票、改签等业务，售票完成后，需要打印乘车凭证，在上车时，扫描乘车凭证上的电子码即可完成乘车验票。人工窗口购票支付方式，需支持现金/微信等支付方式。</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en-US" w:eastAsia="zh-CN"/>
        </w:rPr>
        <w:t>退票</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rPr>
        <w:t>支持人工</w:t>
      </w:r>
      <w:r>
        <w:rPr>
          <w:rFonts w:hint="eastAsia" w:asciiTheme="minorEastAsia" w:hAnsiTheme="minorEastAsia" w:eastAsiaTheme="minorEastAsia" w:cstheme="minorEastAsia"/>
          <w:color w:val="000000"/>
          <w:kern w:val="0"/>
          <w:sz w:val="24"/>
          <w:szCs w:val="24"/>
          <w:lang w:val="en-US" w:eastAsia="zh-CN"/>
        </w:rPr>
        <w:t>窗口按照退票规则在</w:t>
      </w:r>
      <w:r>
        <w:rPr>
          <w:rFonts w:hint="eastAsia" w:asciiTheme="minorEastAsia" w:hAnsiTheme="minorEastAsia" w:eastAsiaTheme="minorEastAsia" w:cstheme="minorEastAsia"/>
          <w:color w:val="000000"/>
          <w:kern w:val="0"/>
          <w:sz w:val="24"/>
          <w:szCs w:val="24"/>
        </w:rPr>
        <w:t>后台</w:t>
      </w:r>
      <w:r>
        <w:rPr>
          <w:rFonts w:hint="eastAsia" w:asciiTheme="minorEastAsia" w:hAnsiTheme="minorEastAsia" w:eastAsiaTheme="minorEastAsia" w:cstheme="minorEastAsia"/>
          <w:color w:val="000000"/>
          <w:kern w:val="0"/>
          <w:sz w:val="24"/>
          <w:szCs w:val="24"/>
          <w:lang w:val="en-US" w:eastAsia="zh-CN"/>
        </w:rPr>
        <w:t>为乘客进行退票</w:t>
      </w:r>
      <w:r>
        <w:rPr>
          <w:rFonts w:hint="eastAsia" w:asciiTheme="minorEastAsia" w:hAnsiTheme="minorEastAsia" w:eastAsiaTheme="minorEastAsia" w:cstheme="minorEastAsia"/>
          <w:color w:val="000000"/>
          <w:kern w:val="0"/>
          <w:sz w:val="24"/>
          <w:szCs w:val="24"/>
        </w:rPr>
        <w:t>操作。</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en-US" w:eastAsia="zh-CN"/>
        </w:rPr>
        <w:t>改签</w:t>
      </w:r>
    </w:p>
    <w:p>
      <w:pPr>
        <w:widowControl/>
        <w:spacing w:line="560" w:lineRule="exact"/>
        <w:ind w:firstLine="480" w:firstLineChars="200"/>
        <w:jc w:val="left"/>
        <w:rPr>
          <w:rFonts w:hint="eastAsia"/>
          <w:lang w:val="en-US" w:eastAsia="zh-CN"/>
        </w:rPr>
      </w:pPr>
      <w:r>
        <w:rPr>
          <w:rFonts w:hint="eastAsia" w:asciiTheme="minorEastAsia" w:hAnsiTheme="minorEastAsia" w:eastAsiaTheme="minorEastAsia" w:cstheme="minorEastAsia"/>
          <w:color w:val="000000"/>
          <w:kern w:val="0"/>
          <w:sz w:val="24"/>
          <w:szCs w:val="24"/>
        </w:rPr>
        <w:t>支持当</w:t>
      </w:r>
      <w:r>
        <w:rPr>
          <w:rFonts w:hint="eastAsia" w:asciiTheme="minorEastAsia" w:hAnsiTheme="minorEastAsia" w:eastAsiaTheme="minorEastAsia" w:cstheme="minorEastAsia"/>
          <w:color w:val="000000"/>
          <w:kern w:val="0"/>
          <w:sz w:val="24"/>
          <w:szCs w:val="24"/>
          <w:lang w:eastAsia="zh-CN"/>
        </w:rPr>
        <w:t>乘客</w:t>
      </w:r>
      <w:r>
        <w:rPr>
          <w:rFonts w:hint="eastAsia" w:asciiTheme="minorEastAsia" w:hAnsiTheme="minorEastAsia" w:eastAsiaTheme="minorEastAsia" w:cstheme="minorEastAsia"/>
          <w:color w:val="000000"/>
          <w:kern w:val="0"/>
          <w:sz w:val="24"/>
          <w:szCs w:val="24"/>
          <w:lang w:val="en-US" w:eastAsia="zh-CN"/>
        </w:rPr>
        <w:t>购买</w:t>
      </w:r>
      <w:r>
        <w:rPr>
          <w:rFonts w:hint="eastAsia" w:asciiTheme="minorEastAsia" w:hAnsiTheme="minorEastAsia" w:eastAsiaTheme="minorEastAsia" w:cstheme="minorEastAsia"/>
          <w:color w:val="000000"/>
          <w:kern w:val="0"/>
          <w:sz w:val="24"/>
          <w:szCs w:val="24"/>
        </w:rPr>
        <w:t>车票后，若需要更改行程，</w:t>
      </w:r>
      <w:r>
        <w:rPr>
          <w:rFonts w:hint="eastAsia" w:asciiTheme="minorEastAsia" w:hAnsiTheme="minorEastAsia" w:eastAsiaTheme="minorEastAsia" w:cstheme="minorEastAsia"/>
          <w:color w:val="000000"/>
          <w:kern w:val="0"/>
          <w:sz w:val="24"/>
          <w:szCs w:val="24"/>
          <w:lang w:val="en-US" w:eastAsia="zh-CN"/>
        </w:rPr>
        <w:t>可</w:t>
      </w:r>
      <w:r>
        <w:rPr>
          <w:rFonts w:hint="eastAsia" w:asciiTheme="minorEastAsia" w:hAnsiTheme="minorEastAsia" w:eastAsiaTheme="minorEastAsia" w:cstheme="minorEastAsia"/>
          <w:color w:val="000000"/>
          <w:kern w:val="0"/>
          <w:sz w:val="24"/>
          <w:szCs w:val="24"/>
        </w:rPr>
        <w:t>在售票窗口</w:t>
      </w:r>
      <w:r>
        <w:rPr>
          <w:rFonts w:hint="eastAsia" w:asciiTheme="minorEastAsia" w:hAnsiTheme="minorEastAsia" w:eastAsiaTheme="minorEastAsia" w:cstheme="minorEastAsia"/>
          <w:color w:val="000000"/>
          <w:kern w:val="0"/>
          <w:sz w:val="24"/>
          <w:szCs w:val="24"/>
          <w:lang w:val="en-US" w:eastAsia="zh-CN"/>
        </w:rPr>
        <w:t>或移动端</w:t>
      </w:r>
      <w:r>
        <w:rPr>
          <w:rFonts w:hint="eastAsia" w:asciiTheme="minorEastAsia" w:hAnsiTheme="minorEastAsia" w:eastAsiaTheme="minorEastAsia" w:cstheme="minorEastAsia"/>
          <w:color w:val="000000"/>
          <w:kern w:val="0"/>
          <w:sz w:val="24"/>
          <w:szCs w:val="24"/>
        </w:rPr>
        <w:t>使用改签操作。</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报表管理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统计日期范围内的乘车人数、售票数、行程数、金额等汇总信息。</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系统提供多维度数据报表展示，包括运营汇总报表（时段、日报、月报）、车辆、线路、司机汇总报表、线路班次明细表等，都可查询时段、日报、月报汇总信息。</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包括总销售统计报表、总核销统计报表、今日分时核销报表、车辆每日核销报表、分班次销售统计报表、分班次核销统计报表。</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订单管理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lang w:val="en-US" w:eastAsia="zh-CN"/>
        </w:rPr>
        <w:t>订单列表，记录订单线路、手机号、票价、购票数、购票金额、退票数、退票金额、订单状态、渠道来源等，支持通过订单号、渠道、状态等筛选订单，同时支持在管理平台对订单进行退票、退款（特殊情况下单退款）操作。</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退票规则</w:t>
      </w:r>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lang w:val="en-US" w:eastAsia="zh-CN" w:bidi="ar-SA"/>
        </w:rPr>
        <w:t>设置线路退票规则，根据距离发车时间从大到小区间，设置不同区间的退票扣费标准等。支持后台人工退改签。</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第三方对账单</w:t>
      </w:r>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支持系统内支付方式，系统订单与第三方对账单对账，包含日对账表、对账明细表。</w:t>
      </w:r>
    </w:p>
    <w:p>
      <w:pPr>
        <w:pStyle w:val="5"/>
        <w:keepNext/>
        <w:keepLines/>
        <w:pageBreakBefore w:val="0"/>
        <w:widowControl/>
        <w:numPr>
          <w:ilvl w:val="0"/>
          <w:numId w:val="6"/>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Theme="minorEastAsia" w:hAnsiTheme="minorEastAsia" w:eastAsiaTheme="minorEastAsia" w:cstheme="minorEastAsia"/>
          <w:bCs/>
          <w:color w:val="000000"/>
          <w:kern w:val="0"/>
          <w:sz w:val="24"/>
          <w:szCs w:val="24"/>
          <w:highlight w:val="none"/>
          <w:lang w:val="en-US" w:eastAsia="zh-CN"/>
        </w:rPr>
      </w:pPr>
      <w:r>
        <w:rPr>
          <w:rFonts w:hint="eastAsia" w:asciiTheme="minorEastAsia" w:hAnsiTheme="minorEastAsia" w:eastAsiaTheme="minorEastAsia" w:cstheme="minorEastAsia"/>
          <w:bCs/>
          <w:color w:val="000000"/>
          <w:kern w:val="0"/>
          <w:sz w:val="24"/>
          <w:szCs w:val="24"/>
          <w:highlight w:val="none"/>
          <w:lang w:val="en-US" w:eastAsia="zh-CN"/>
        </w:rPr>
        <w:t>系统设置</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参数配置</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配置调度、售票、检票等运营规则，包括单次购票数量、截止售票时间、截止退票时间、退票手续费规则设置、改签时限和免票儿童比例等。</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角色管理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按角色管理系统操作权限，支持按功能点分配权限，例如新增、导出等功能独立授权。</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用户管理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设置用户工号、姓名、联系电话、角色分配等基本信息，支持单用户多角色管理。</w:t>
      </w:r>
    </w:p>
    <w:p>
      <w:pPr>
        <w:pStyle w:val="3"/>
        <w:pageBreakBefore w:val="0"/>
        <w:widowControl/>
        <w:numPr>
          <w:ilvl w:val="0"/>
          <w:numId w:val="7"/>
        </w:numPr>
        <w:kinsoku/>
        <w:wordWrap/>
        <w:overflowPunct/>
        <w:topLinePunct w:val="0"/>
        <w:autoSpaceDE/>
        <w:autoSpaceDN/>
        <w:bidi w:val="0"/>
        <w:adjustRightInd/>
        <w:snapToGrid/>
        <w:spacing w:line="560" w:lineRule="exact"/>
        <w:ind w:firstLine="60" w:firstLineChars="0"/>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rPr>
        <w:t>日志管理</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lang w:val="en-US" w:eastAsia="zh-CN"/>
        </w:rPr>
        <w:t>可以根据操作时间、用户、系统模块、操作类型等方式查看系统的操作日志。例如操作员、操作时间、系统模块、操作前内容和操作后内容等信息。</w:t>
      </w:r>
    </w:p>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乘客端</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5" w:name="_Toc158125437"/>
      <w:bookmarkStart w:id="6" w:name="_Toc9489"/>
      <w:r>
        <w:rPr>
          <w:rFonts w:hint="eastAsia" w:ascii="宋体" w:hAnsi="宋体" w:eastAsia="宋体" w:cs="宋体"/>
          <w:bCs/>
          <w:color w:val="000000"/>
          <w:kern w:val="0"/>
          <w:sz w:val="24"/>
          <w:szCs w:val="28"/>
          <w:highlight w:val="none"/>
          <w:lang w:val="en-US" w:eastAsia="zh-CN"/>
        </w:rPr>
        <w:t>班次查询</w:t>
      </w:r>
      <w:bookmarkEnd w:id="5"/>
      <w:bookmarkEnd w:id="6"/>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系统根据当前位置为乘客推荐符合条件的班次，乘客可快速选择班次购票。也可以输入关键字搜索班次或者查看全部班次进行选择。</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7" w:name="_Toc15543"/>
      <w:bookmarkStart w:id="8" w:name="_Toc158125438"/>
      <w:r>
        <w:rPr>
          <w:rFonts w:hint="eastAsia" w:ascii="宋体" w:hAnsi="宋体" w:eastAsia="宋体" w:cs="宋体"/>
          <w:bCs/>
          <w:color w:val="000000"/>
          <w:kern w:val="0"/>
          <w:sz w:val="24"/>
          <w:szCs w:val="28"/>
          <w:highlight w:val="none"/>
          <w:lang w:val="en-US" w:eastAsia="zh-CN"/>
        </w:rPr>
        <w:t>购票</w:t>
      </w:r>
      <w:bookmarkEnd w:id="7"/>
      <w:bookmarkEnd w:id="8"/>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lang w:val="en-US" w:eastAsia="zh-CN" w:bidi="ar-SA"/>
        </w:rPr>
        <w:t>乘客选择班次后可以购买不同票种的车票，包括普通票、老人票、优待票、儿童票等，系统根据乘客选择车票数量确定乘客需支付车票价格，点击购票，确认订单信息后，选择线上支付，支付完成后可在我的订单列表中查看行程订单。</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退票</w:t>
      </w:r>
    </w:p>
    <w:p>
      <w:pPr>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支持</w:t>
      </w:r>
      <w:r>
        <w:rPr>
          <w:rFonts w:hint="eastAsia" w:asciiTheme="minorEastAsia" w:hAnsiTheme="minorEastAsia" w:eastAsiaTheme="minorEastAsia" w:cstheme="minorEastAsia"/>
          <w:color w:val="000000"/>
          <w:kern w:val="0"/>
          <w:sz w:val="24"/>
          <w:szCs w:val="24"/>
          <w:lang w:val="en-US" w:eastAsia="zh-CN"/>
        </w:rPr>
        <w:t>乘客按照退票规则在线上进行退票</w:t>
      </w:r>
      <w:r>
        <w:rPr>
          <w:rFonts w:hint="eastAsia" w:asciiTheme="minorEastAsia" w:hAnsiTheme="minorEastAsia" w:eastAsiaTheme="minorEastAsia" w:cstheme="minorEastAsia"/>
          <w:color w:val="000000"/>
          <w:kern w:val="0"/>
          <w:sz w:val="24"/>
          <w:szCs w:val="24"/>
        </w:rPr>
        <w:t>操作。</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改签</w:t>
      </w:r>
    </w:p>
    <w:p>
      <w:pPr>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rPr>
        <w:t>支持</w:t>
      </w:r>
      <w:r>
        <w:rPr>
          <w:rFonts w:hint="eastAsia" w:asciiTheme="minorEastAsia" w:hAnsiTheme="minorEastAsia" w:eastAsiaTheme="minorEastAsia" w:cstheme="minorEastAsia"/>
          <w:color w:val="000000"/>
          <w:kern w:val="0"/>
          <w:sz w:val="24"/>
          <w:szCs w:val="24"/>
          <w:lang w:val="en-US" w:eastAsia="zh-CN"/>
        </w:rPr>
        <w:t>乘客按照改签规则在线上进行改签</w:t>
      </w:r>
      <w:r>
        <w:rPr>
          <w:rFonts w:hint="eastAsia" w:asciiTheme="minorEastAsia" w:hAnsiTheme="minorEastAsia" w:eastAsiaTheme="minorEastAsia" w:cstheme="minorEastAsia"/>
          <w:color w:val="000000"/>
          <w:kern w:val="0"/>
          <w:sz w:val="24"/>
          <w:szCs w:val="24"/>
        </w:rPr>
        <w:t>操作。</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9" w:name="_Toc5826"/>
      <w:bookmarkStart w:id="10" w:name="_Toc158125439"/>
      <w:r>
        <w:rPr>
          <w:rFonts w:hint="eastAsia" w:ascii="宋体" w:hAnsi="宋体" w:eastAsia="宋体" w:cs="宋体"/>
          <w:bCs/>
          <w:color w:val="000000"/>
          <w:kern w:val="0"/>
          <w:sz w:val="24"/>
          <w:szCs w:val="28"/>
          <w:highlight w:val="none"/>
          <w:lang w:val="en-US" w:eastAsia="zh-CN"/>
        </w:rPr>
        <w:t>订单</w:t>
      </w:r>
      <w:bookmarkEnd w:id="9"/>
      <w:bookmarkEnd w:id="10"/>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在订单中可查看行程订单，点击订单可查看行程详情，可进行退改票（取消行程）操作。</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11" w:name="_Toc158125440"/>
      <w:bookmarkStart w:id="12" w:name="_Toc11722"/>
      <w:r>
        <w:rPr>
          <w:rFonts w:hint="eastAsia" w:ascii="宋体" w:hAnsi="宋体" w:eastAsia="宋体" w:cs="宋体"/>
          <w:bCs/>
          <w:color w:val="000000"/>
          <w:kern w:val="0"/>
          <w:sz w:val="24"/>
          <w:szCs w:val="28"/>
          <w:highlight w:val="none"/>
          <w:lang w:val="en-US" w:eastAsia="zh-CN"/>
        </w:rPr>
        <w:t>订单详情</w:t>
      </w:r>
      <w:bookmarkEnd w:id="11"/>
      <w:bookmarkEnd w:id="12"/>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订单详情中可查看订单编号、行程信息、费用信息及乘车日期等，如果购买多日行程支持点击日期退票。</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13" w:name="_Toc31851"/>
      <w:bookmarkStart w:id="14" w:name="_Toc158125441"/>
      <w:r>
        <w:rPr>
          <w:rFonts w:hint="eastAsia" w:ascii="宋体" w:hAnsi="宋体" w:eastAsia="宋体" w:cs="宋体"/>
          <w:bCs/>
          <w:color w:val="000000"/>
          <w:kern w:val="0"/>
          <w:sz w:val="24"/>
          <w:szCs w:val="28"/>
          <w:highlight w:val="none"/>
          <w:lang w:val="en-US" w:eastAsia="zh-CN"/>
        </w:rPr>
        <w:t>验票</w:t>
      </w:r>
      <w:bookmarkEnd w:id="13"/>
      <w:bookmarkEnd w:id="14"/>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SA"/>
        </w:rPr>
        <w:t>乘车时乘客从订单中快捷展示车票二维码，或是从个人中心中找到二维码打开，通过车载验票终端或者司机打开司机端扫描乘客二维码，完成乘车验票，当前票只允许乘坐指定车次。</w:t>
      </w:r>
      <w:r>
        <w:rPr>
          <w:rFonts w:hint="eastAsia" w:asciiTheme="minorEastAsia" w:hAnsiTheme="minorEastAsia" w:eastAsiaTheme="minorEastAsia" w:cstheme="minorEastAsia"/>
          <w:color w:val="000000"/>
          <w:sz w:val="24"/>
          <w:szCs w:val="24"/>
        </w:rPr>
        <w:t>支持特殊的跨班次检票，本班次的乘客可检票到下一个班次。</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15" w:name="_Toc158125442"/>
      <w:bookmarkStart w:id="16" w:name="_Toc3016"/>
      <w:r>
        <w:rPr>
          <w:rFonts w:hint="eastAsia" w:ascii="宋体" w:hAnsi="宋体" w:eastAsia="宋体" w:cs="宋体"/>
          <w:bCs/>
          <w:color w:val="000000"/>
          <w:kern w:val="0"/>
          <w:sz w:val="24"/>
          <w:szCs w:val="28"/>
          <w:highlight w:val="none"/>
          <w:lang w:val="en-US" w:eastAsia="zh-CN"/>
        </w:rPr>
        <w:t>退票</w:t>
      </w:r>
      <w:bookmarkEnd w:id="15"/>
      <w:bookmarkEnd w:id="16"/>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对行程订单，符合规则时可取消行程。选择相应日期退票即表示取消当日行程。</w:t>
      </w:r>
    </w:p>
    <w:p>
      <w:pPr>
        <w:pStyle w:val="5"/>
        <w:keepNext/>
        <w:keepLines/>
        <w:pageBreakBefore w:val="0"/>
        <w:widowControl/>
        <w:numPr>
          <w:ilvl w:val="0"/>
          <w:numId w:val="8"/>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开具电子发票</w:t>
      </w:r>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SA"/>
        </w:rPr>
        <w:t>为乘客提供电子发票功能，乘客在微信公众号上可以按购票信息申请电子发票，填写开票信息后，即可完成电子发票申请和下载。</w:t>
      </w:r>
    </w:p>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bookmarkStart w:id="17" w:name="_Toc139383683"/>
      <w:bookmarkStart w:id="18" w:name="_Toc158125443"/>
      <w:r>
        <w:rPr>
          <w:rFonts w:hint="eastAsia" w:ascii="宋体" w:hAnsi="宋体" w:eastAsia="宋体" w:cs="宋体"/>
          <w:b/>
          <w:bCs/>
          <w:color w:val="000000"/>
          <w:kern w:val="0"/>
          <w:sz w:val="24"/>
          <w:szCs w:val="24"/>
          <w:highlight w:val="none"/>
          <w:lang w:val="en-US" w:eastAsia="zh-CN"/>
        </w:rPr>
        <w:t>司机端</w:t>
      </w:r>
      <w:bookmarkEnd w:id="17"/>
      <w:bookmarkEnd w:id="18"/>
    </w:p>
    <w:p>
      <w:pPr>
        <w:pStyle w:val="5"/>
        <w:keepNext/>
        <w:keepLines/>
        <w:pageBreakBefore w:val="0"/>
        <w:widowControl/>
        <w:numPr>
          <w:ilvl w:val="0"/>
          <w:numId w:val="9"/>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19" w:name="_Toc158125444"/>
      <w:r>
        <w:rPr>
          <w:rFonts w:hint="eastAsia" w:ascii="宋体" w:hAnsi="宋体" w:eastAsia="宋体" w:cs="宋体"/>
          <w:bCs/>
          <w:color w:val="000000"/>
          <w:kern w:val="0"/>
          <w:sz w:val="24"/>
          <w:szCs w:val="28"/>
          <w:highlight w:val="none"/>
          <w:lang w:val="en-US" w:eastAsia="zh-CN"/>
        </w:rPr>
        <w:t>行程查看</w:t>
      </w:r>
      <w:bookmarkEnd w:id="19"/>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当有行程分配时，司机在手机端会收到信息提醒，司机可打开司机端进行查看。同时在首页会展示司机历史行程汇总信息，展示当前待完成行程，以及已完成行程查看入口。</w:t>
      </w:r>
    </w:p>
    <w:p>
      <w:pPr>
        <w:pStyle w:val="5"/>
        <w:keepNext/>
        <w:keepLines/>
        <w:pageBreakBefore w:val="0"/>
        <w:widowControl/>
        <w:numPr>
          <w:ilvl w:val="0"/>
          <w:numId w:val="9"/>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20" w:name="_Toc158125445"/>
      <w:r>
        <w:rPr>
          <w:rFonts w:hint="eastAsia" w:ascii="宋体" w:hAnsi="宋体" w:eastAsia="宋体" w:cs="宋体"/>
          <w:bCs/>
          <w:color w:val="000000"/>
          <w:kern w:val="0"/>
          <w:sz w:val="24"/>
          <w:szCs w:val="28"/>
          <w:highlight w:val="none"/>
          <w:lang w:val="en-US" w:eastAsia="zh-CN"/>
        </w:rPr>
        <w:t>行程开始</w:t>
      </w:r>
      <w:bookmarkEnd w:id="20"/>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当司机在行程起点要发车时，可在司机端操作开始运营，系统将消息通知乘车人，起点站点未乘车人员则不必再前往乘车，在乘客端进行退票处理，同时后台管理系统调整本次行程状态。</w:t>
      </w:r>
    </w:p>
    <w:p>
      <w:pPr>
        <w:pStyle w:val="5"/>
        <w:keepNext/>
        <w:keepLines/>
        <w:pageBreakBefore w:val="0"/>
        <w:widowControl/>
        <w:numPr>
          <w:ilvl w:val="0"/>
          <w:numId w:val="9"/>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21" w:name="_Toc158125446"/>
      <w:r>
        <w:rPr>
          <w:rFonts w:hint="eastAsia" w:ascii="宋体" w:hAnsi="宋体" w:eastAsia="宋体" w:cs="宋体"/>
          <w:bCs/>
          <w:color w:val="000000"/>
          <w:kern w:val="0"/>
          <w:sz w:val="24"/>
          <w:szCs w:val="28"/>
          <w:highlight w:val="none"/>
          <w:lang w:val="en-US" w:eastAsia="zh-CN"/>
        </w:rPr>
        <w:t>行程到站</w:t>
      </w:r>
      <w:bookmarkEnd w:id="21"/>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司机行程中可以查看到达站点的站点信息以及该站点的上下车人数，司机端验证乘客车票二维码，验票上车。</w:t>
      </w:r>
    </w:p>
    <w:p>
      <w:pPr>
        <w:pStyle w:val="5"/>
        <w:keepNext/>
        <w:keepLines/>
        <w:pageBreakBefore w:val="0"/>
        <w:widowControl/>
        <w:numPr>
          <w:ilvl w:val="0"/>
          <w:numId w:val="9"/>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22" w:name="_Toc158125447"/>
      <w:r>
        <w:rPr>
          <w:rFonts w:hint="eastAsia" w:ascii="宋体" w:hAnsi="宋体" w:eastAsia="宋体" w:cs="宋体"/>
          <w:bCs/>
          <w:color w:val="000000"/>
          <w:kern w:val="0"/>
          <w:sz w:val="24"/>
          <w:szCs w:val="28"/>
          <w:highlight w:val="none"/>
          <w:lang w:val="en-US" w:eastAsia="zh-CN"/>
        </w:rPr>
        <w:t>验票</w:t>
      </w:r>
      <w:bookmarkEnd w:id="22"/>
    </w:p>
    <w:p>
      <w:pPr>
        <w:pStyle w:val="2"/>
        <w:pageBreakBefore w:val="0"/>
        <w:kinsoku/>
        <w:wordWrap/>
        <w:overflowPunct/>
        <w:topLinePunct w:val="0"/>
        <w:autoSpaceDE/>
        <w:autoSpaceDN/>
        <w:bidi w:val="0"/>
        <w:adjustRightInd/>
        <w:snapToGrid/>
        <w:spacing w:before="156" w:after="156"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到站后车载验票终端或者司机端执行验票操作，乘客出示车票二维码在司机端设备上验票上车，验证成功后，将在司机端页面显示验票结果信息，同时支持一键快速验票。一个车票二维码只能使用一次。</w:t>
      </w:r>
    </w:p>
    <w:p>
      <w:pPr>
        <w:pStyle w:val="5"/>
        <w:keepNext/>
        <w:keepLines/>
        <w:pageBreakBefore w:val="0"/>
        <w:widowControl/>
        <w:numPr>
          <w:ilvl w:val="0"/>
          <w:numId w:val="9"/>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23" w:name="_Toc158125448"/>
      <w:r>
        <w:rPr>
          <w:rFonts w:hint="eastAsia" w:ascii="宋体" w:hAnsi="宋体" w:eastAsia="宋体" w:cs="宋体"/>
          <w:bCs/>
          <w:color w:val="000000"/>
          <w:kern w:val="0"/>
          <w:sz w:val="24"/>
          <w:szCs w:val="28"/>
          <w:highlight w:val="none"/>
          <w:lang w:val="en-US" w:eastAsia="zh-CN"/>
        </w:rPr>
        <w:t>到达目的地</w:t>
      </w:r>
      <w:bookmarkEnd w:id="23"/>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lang w:val="en-US" w:eastAsia="zh-CN" w:bidi="ar-SA"/>
        </w:rPr>
        <w:t>当行程到达终点，司机在司机端确认到达目的地，系统结束当前行程。</w:t>
      </w:r>
    </w:p>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bookmarkStart w:id="24" w:name="_Toc158125452"/>
      <w:r>
        <w:rPr>
          <w:rFonts w:hint="eastAsia" w:ascii="宋体" w:hAnsi="宋体" w:eastAsia="宋体" w:cs="宋体"/>
          <w:b/>
          <w:bCs/>
          <w:color w:val="000000"/>
          <w:kern w:val="0"/>
          <w:sz w:val="24"/>
          <w:szCs w:val="24"/>
          <w:highlight w:val="none"/>
          <w:lang w:val="en-US" w:eastAsia="zh-CN"/>
        </w:rPr>
        <w:t>车载验票终端</w:t>
      </w:r>
      <w:bookmarkEnd w:id="24"/>
    </w:p>
    <w:p>
      <w:pPr>
        <w:pStyle w:val="5"/>
        <w:keepNext/>
        <w:keepLines/>
        <w:pageBreakBefore w:val="0"/>
        <w:widowControl/>
        <w:numPr>
          <w:ilvl w:val="0"/>
          <w:numId w:val="10"/>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bookmarkStart w:id="25" w:name="_Toc158125453"/>
      <w:r>
        <w:rPr>
          <w:rFonts w:hint="eastAsia" w:ascii="宋体" w:hAnsi="宋体" w:eastAsia="宋体" w:cs="宋体"/>
          <w:bCs/>
          <w:color w:val="000000"/>
          <w:kern w:val="0"/>
          <w:sz w:val="24"/>
          <w:szCs w:val="28"/>
          <w:highlight w:val="none"/>
          <w:lang w:val="en-US" w:eastAsia="zh-CN"/>
        </w:rPr>
        <w:t>功能需求</w:t>
      </w:r>
      <w:bookmarkEnd w:id="25"/>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车载验票终端可以识别乘客端各种票类别；</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车载验票终端对于各种优惠票种可设置不同语音</w:t>
      </w:r>
      <w:r>
        <w:rPr>
          <w:rFonts w:hint="eastAsia" w:asciiTheme="minorEastAsia" w:hAnsiTheme="minorEastAsia" w:eastAsiaTheme="minorEastAsia" w:cstheme="minorEastAsia"/>
          <w:color w:val="000000"/>
          <w:kern w:val="0"/>
          <w:sz w:val="24"/>
          <w:szCs w:val="24"/>
          <w:lang w:val="en-US" w:eastAsia="zh-CN"/>
        </w:rPr>
        <w:t>提示</w:t>
      </w:r>
      <w:r>
        <w:rPr>
          <w:rFonts w:hint="eastAsia" w:asciiTheme="minorEastAsia" w:hAnsiTheme="minorEastAsia" w:eastAsiaTheme="minorEastAsia" w:cstheme="minorEastAsia"/>
          <w:color w:val="000000"/>
          <w:kern w:val="0"/>
          <w:sz w:val="24"/>
          <w:szCs w:val="24"/>
        </w:rPr>
        <w:t>；</w:t>
      </w:r>
    </w:p>
    <w:p>
      <w:pPr>
        <w:spacing w:line="560" w:lineRule="exact"/>
        <w:ind w:firstLine="480" w:firstLineChars="20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车载验票终端支持</w:t>
      </w:r>
      <w:r>
        <w:rPr>
          <w:rFonts w:hint="eastAsia" w:asciiTheme="minorEastAsia" w:hAnsiTheme="minorEastAsia" w:eastAsiaTheme="minorEastAsia" w:cstheme="minorEastAsia"/>
          <w:color w:val="000000"/>
          <w:kern w:val="0"/>
          <w:sz w:val="24"/>
          <w:szCs w:val="24"/>
          <w:lang w:val="en-US" w:eastAsia="zh-CN"/>
        </w:rPr>
        <w:t>乘客</w:t>
      </w:r>
      <w:r>
        <w:rPr>
          <w:rFonts w:hint="eastAsia" w:asciiTheme="minorEastAsia" w:hAnsiTheme="minorEastAsia" w:eastAsiaTheme="minorEastAsia" w:cstheme="minorEastAsia"/>
          <w:color w:val="000000"/>
          <w:kern w:val="0"/>
          <w:sz w:val="24"/>
          <w:szCs w:val="24"/>
        </w:rPr>
        <w:t>二维码验票</w:t>
      </w:r>
      <w:r>
        <w:rPr>
          <w:rFonts w:hint="eastAsia" w:asciiTheme="minorEastAsia" w:hAnsiTheme="minorEastAsia" w:eastAsiaTheme="minorEastAsia" w:cstheme="minorEastAsia"/>
          <w:color w:val="000000"/>
          <w:kern w:val="0"/>
          <w:sz w:val="24"/>
          <w:szCs w:val="24"/>
          <w:lang w:eastAsia="zh-CN"/>
        </w:rPr>
        <w:t>；</w:t>
      </w:r>
    </w:p>
    <w:p>
      <w:pPr>
        <w:spacing w:line="560" w:lineRule="exact"/>
        <w:ind w:firstLine="480" w:firstLineChars="200"/>
        <w:rPr>
          <w:rFonts w:hint="default" w:eastAsiaTheme="minorEastAsia"/>
          <w:lang w:val="en-US" w:eastAsia="zh-CN"/>
        </w:rPr>
      </w:pPr>
      <w:r>
        <w:rPr>
          <w:rFonts w:hint="eastAsia" w:asciiTheme="minorEastAsia" w:hAnsiTheme="minorEastAsia" w:eastAsiaTheme="minorEastAsia" w:cstheme="minorEastAsia"/>
          <w:color w:val="000000"/>
          <w:kern w:val="0"/>
          <w:sz w:val="24"/>
          <w:szCs w:val="24"/>
        </w:rPr>
        <w:t>车载验票终端支持</w:t>
      </w:r>
      <w:r>
        <w:rPr>
          <w:rFonts w:hint="eastAsia" w:asciiTheme="minorEastAsia" w:hAnsiTheme="minorEastAsia" w:eastAsiaTheme="minorEastAsia" w:cstheme="minorEastAsia"/>
          <w:color w:val="000000"/>
          <w:kern w:val="0"/>
          <w:sz w:val="24"/>
          <w:szCs w:val="24"/>
          <w:lang w:val="en-US" w:eastAsia="zh-CN"/>
        </w:rPr>
        <w:t>乘客上车后收款二维码购票，并关联售票系统。</w:t>
      </w:r>
    </w:p>
    <w:p>
      <w:pPr>
        <w:pStyle w:val="5"/>
        <w:keepNext/>
        <w:keepLines/>
        <w:pageBreakBefore w:val="0"/>
        <w:widowControl/>
        <w:numPr>
          <w:ilvl w:val="0"/>
          <w:numId w:val="10"/>
        </w:numPr>
        <w:kinsoku/>
        <w:wordWrap/>
        <w:overflowPunct/>
        <w:topLinePunct w:val="0"/>
        <w:autoSpaceDE/>
        <w:autoSpaceDN/>
        <w:bidi w:val="0"/>
        <w:adjustRightInd/>
        <w:snapToGrid/>
        <w:spacing w:before="0" w:after="0" w:line="560" w:lineRule="exact"/>
        <w:ind w:left="0" w:leftChars="0" w:firstLine="482" w:firstLineChars="200"/>
        <w:jc w:val="left"/>
        <w:textAlignment w:val="auto"/>
        <w:rPr>
          <w:rFonts w:hint="eastAsia" w:ascii="宋体" w:hAnsi="宋体" w:eastAsia="宋体" w:cs="宋体"/>
          <w:bCs/>
          <w:color w:val="000000"/>
          <w:kern w:val="0"/>
          <w:sz w:val="24"/>
          <w:szCs w:val="28"/>
          <w:highlight w:val="none"/>
          <w:lang w:val="en-US" w:eastAsia="zh-CN"/>
        </w:rPr>
      </w:pPr>
      <w:r>
        <w:rPr>
          <w:rFonts w:hint="eastAsia" w:ascii="宋体" w:hAnsi="宋体" w:eastAsia="宋体" w:cs="宋体"/>
          <w:bCs/>
          <w:color w:val="000000"/>
          <w:kern w:val="0"/>
          <w:sz w:val="24"/>
          <w:szCs w:val="28"/>
          <w:highlight w:val="none"/>
          <w:lang w:val="en-US" w:eastAsia="zh-CN"/>
        </w:rPr>
        <w:t>技术参数</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CPU主频应不低于</w:t>
      </w:r>
      <w:r>
        <w:rPr>
          <w:rFonts w:hint="eastAsia" w:asciiTheme="minorEastAsia" w:hAnsiTheme="minorEastAsia" w:eastAsiaTheme="minorEastAsia" w:cstheme="minorEastAsia"/>
          <w:color w:val="000000"/>
          <w:kern w:val="0"/>
          <w:sz w:val="24"/>
          <w:szCs w:val="24"/>
          <w:highlight w:val="none"/>
        </w:rPr>
        <w:t>1GHz</w:t>
      </w:r>
      <w:r>
        <w:rPr>
          <w:rFonts w:hint="eastAsia" w:asciiTheme="minorEastAsia" w:hAnsiTheme="minorEastAsia" w:eastAsiaTheme="minorEastAsia" w:cstheme="minorEastAsia"/>
          <w:color w:val="000000"/>
          <w:kern w:val="0"/>
          <w:sz w:val="24"/>
          <w:szCs w:val="24"/>
          <w:highlight w:val="none"/>
          <w:lang w:val="en-US" w:eastAsia="zh-CN" w:bidi="ar-SA"/>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屏幕应采用全彩屏，尺寸不低于5英寸，分辨率不低于480*272。</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应支持4G全网通。</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应支持GPS/北斗定位。</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支持二维码识别。</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设备存储容量≥8GB。</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工作温度范围不小于 -20℃～+55℃。</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工作电压范围应包含 DC +9V-+36V，并具有过压、过流保护功能。</w:t>
      </w:r>
    </w:p>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云服务器资源配置</w:t>
      </w:r>
    </w:p>
    <w:p>
      <w:pPr>
        <w:keepNext/>
        <w:keepLines/>
        <w:pageBreakBefore w:val="0"/>
        <w:widowControl/>
        <w:numPr>
          <w:ilvl w:val="1"/>
          <w:numId w:val="0"/>
        </w:numPr>
        <w:kinsoku/>
        <w:wordWrap/>
        <w:overflowPunct/>
        <w:topLinePunct w:val="0"/>
        <w:autoSpaceDE/>
        <w:autoSpaceDN/>
        <w:bidi w:val="0"/>
        <w:adjustRightInd/>
        <w:snapToGrid/>
        <w:spacing w:before="0" w:after="0" w:line="560" w:lineRule="exact"/>
        <w:ind w:leftChars="0"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售票平台要求按日均3万张票量冗余设计，系统安全架构满足等保二级要求，采用租赁云资源方式部署。首年由供应商配套提供云资源服务，次年起转由业主方承担。主要配置要求如下：</w:t>
      </w:r>
    </w:p>
    <w:tbl>
      <w:tblPr>
        <w:tblStyle w:val="3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8"/>
        <w:gridCol w:w="5073"/>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48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云服务主机</w:t>
            </w:r>
          </w:p>
        </w:tc>
        <w:tc>
          <w:tcPr>
            <w:tcW w:w="455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规格</w:t>
            </w:r>
          </w:p>
        </w:tc>
        <w:tc>
          <w:tcPr>
            <w:tcW w:w="1387"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45"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云服务器A</w:t>
            </w:r>
          </w:p>
        </w:tc>
        <w:tc>
          <w:tcPr>
            <w:tcW w:w="5073"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(4vCPU 16GiB)  100GiB 2Mbps</w:t>
            </w:r>
          </w:p>
        </w:tc>
        <w:tc>
          <w:tcPr>
            <w:tcW w:w="0" w:type="auto"/>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云服务器B</w:t>
            </w:r>
          </w:p>
        </w:tc>
        <w:tc>
          <w:tcPr>
            <w:tcW w:w="50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(4vCPU 16GiB)  100GiB 2Mbps</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云服务器C</w:t>
            </w:r>
          </w:p>
        </w:tc>
        <w:tc>
          <w:tcPr>
            <w:tcW w:w="50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(8vCPU 32GiB)  100GiB 5Mbps</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left"/>
              <w:textAlignment w:val="bottom"/>
              <w:rPr>
                <w:rFonts w:hint="default"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数据库服务</w:t>
            </w:r>
          </w:p>
        </w:tc>
        <w:tc>
          <w:tcPr>
            <w:tcW w:w="50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CPU 8核、内存32G、数据盘200G、日志盘100G</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负载均衡服务</w:t>
            </w:r>
          </w:p>
        </w:tc>
        <w:tc>
          <w:tcPr>
            <w:tcW w:w="50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负载均衡CLB标准型I (slb.s2.small)公网 20M固定带宽</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bl>
    <w:p>
      <w:pPr>
        <w:pStyle w:val="6"/>
        <w:keepNext/>
        <w:keepLines/>
        <w:pageBreakBefore w:val="0"/>
        <w:widowControl/>
        <w:numPr>
          <w:ilvl w:val="0"/>
          <w:numId w:val="5"/>
        </w:numPr>
        <w:tabs>
          <w:tab w:val="left" w:pos="420"/>
        </w:tabs>
        <w:kinsoku/>
        <w:wordWrap/>
        <w:overflowPunct/>
        <w:topLinePunct w:val="0"/>
        <w:autoSpaceDE/>
        <w:autoSpaceDN/>
        <w:bidi w:val="0"/>
        <w:adjustRightInd/>
        <w:snapToGrid/>
        <w:spacing w:before="0" w:after="0" w:line="560" w:lineRule="exact"/>
        <w:ind w:left="0" w:leftChars="0" w:firstLine="420" w:firstLineChars="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系统对接服务</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对接中山通老人卡数据服务</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对接车载验票终端服务</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对接枢纽站发车屏班次预测服务</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对接电子发票接口服务</w:t>
      </w:r>
    </w:p>
    <w:p>
      <w:pPr>
        <w:numPr>
          <w:ilvl w:val="0"/>
          <w:numId w:val="2"/>
        </w:numPr>
        <w:spacing w:line="560" w:lineRule="exact"/>
        <w:ind w:left="425" w:leftChars="0" w:hanging="425" w:firstLineChars="0"/>
        <w:rPr>
          <w:rFonts w:hint="default" w:ascii="宋体" w:hAnsi="宋体" w:eastAsia="宋体" w:cs="宋体"/>
          <w:b/>
          <w:bCs/>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b/>
          <w:bCs/>
          <w:sz w:val="24"/>
          <w:lang w:val="en-US" w:eastAsia="zh-CN"/>
        </w:rPr>
        <w:t>项目报价清单</w:t>
      </w:r>
    </w:p>
    <w:p>
      <w:pPr>
        <w:rPr>
          <w:rFonts w:hint="eastAsia"/>
          <w:lang w:val="en-US" w:eastAsia="zh-CN"/>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cols w:space="720" w:num="1"/>
          <w:docGrid w:linePitch="312" w:charSpace="0"/>
        </w:sectPr>
      </w:pPr>
      <w:r>
        <w:rPr>
          <w:rFonts w:hint="eastAsia"/>
          <w:lang w:val="en-US" w:eastAsia="zh-CN"/>
        </w:rPr>
        <w:t xml:space="preserve">    </w:t>
      </w:r>
    </w:p>
    <w:p>
      <w:pPr>
        <w:pStyle w:val="2"/>
        <w:ind w:firstLine="0" w:firstLineChars="0"/>
        <w:rPr>
          <w:rFonts w:hint="default"/>
          <w:lang w:val="en-US" w:eastAsia="zh-CN"/>
        </w:rPr>
      </w:pPr>
    </w:p>
    <w:tbl>
      <w:tblPr>
        <w:tblStyle w:val="33"/>
        <w:tblW w:w="14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191"/>
        <w:gridCol w:w="1766"/>
        <w:gridCol w:w="2417"/>
        <w:gridCol w:w="4550"/>
        <w:gridCol w:w="833"/>
        <w:gridCol w:w="1517"/>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4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深中跨市公交售票系统项目报价清单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子系统</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模块</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功能说明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售票管理后台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基础资料设置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管理车辆基本信息(支持从用户智能调度系统同步)，设置车辆车牌号、车型等信息</w:t>
            </w:r>
            <w:r>
              <w:rPr>
                <w:rFonts w:hint="eastAsia" w:ascii="宋体" w:hAnsi="宋体" w:cs="宋体"/>
                <w:i w:val="0"/>
                <w:iCs w:val="0"/>
                <w:color w:val="000000"/>
                <w:kern w:val="0"/>
                <w:sz w:val="22"/>
                <w:szCs w:val="22"/>
                <w:u w:val="none"/>
                <w:lang w:val="en-US" w:eastAsia="zh-CN" w:bidi="ar"/>
              </w:rPr>
              <w:t>。</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线路基础信息设置，设置线路编号、名称、发车时间、途径站点、座位数、购票类型、有效期、票价、可购买日期、路径规划等。</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驾驶员管理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管理司机基本信息(支持从智能调度系统同步)，包含司机姓名、工号、联系电话等，司机可以通过工号或者手机号登录司机端。</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全票、半票、免儿童票、残疾人证(盲人证)、军残票、中山老人票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站点管理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可在后台查看到站点库中的所有站点，可对已有站点进行启用/停用操作。亦可根据运营需求，新增站点。</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车载验票终端管理</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软件系统</w:t>
            </w: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1、停班、通知客户、退款等调度排班。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2、发车时间、票价等管理</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3、发班班次确认车辆和驾驶员信息。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4、行车计划，按固定班次制定排班计划。</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临时加班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车票列表</w:t>
            </w:r>
          </w:p>
        </w:tc>
        <w:tc>
          <w:tcPr>
            <w:tcW w:w="45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支持人工后台售票，及退改签操作。支持读取二代身份证。支持微信/支付宝/现金支付。打印纸质乘车凭证。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设置线路退票规则：1、发车前2小时以上的（含本数），可办理一次免费改签手续。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2、发车后超过5分钟，不能办理退票。与班车退票手续费规则相同。</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nil"/>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票价设置</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余票查询</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车票打印</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列表，记录订单线路、手机号、票价、购票数、购票金额、退票数、退票金额、订单状态、渠道来源等，支持通过订单号、渠道、状态等筛选订单，同时支持在管理平台对订单进行退票、退款（特殊情况下单退款）操作。</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发票基础资料设置</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对接发票接口，支持用户自助或管理员订单发票开具</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开票、下载</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系统报表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总销售统计报表</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系统提供多维度数据报表展示，包括运营汇总报表（时段、日报、月报）、车辆、线路、司机汇总报表、线路班次明细表等，都可查询时段、日报、月报汇总信息。</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今日分时核销报表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车辆每日核销报表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分班次销售统计报表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提供基本的用户操作日志</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角色权限</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限定用户只能访问被授权的功能</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移动乘客端</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用户选择乘坐的线路后，选择上车站点、下车站点、乘车日期、票种、数量进行购票下单。</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车票出示</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在行程页面点击车票进行乘车验票，通过车载终端或者司机端扫码验票，非当前行程的票验票无效。</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申请开票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发票下载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我的订单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实名认证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实名才需要</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意见反馈</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联系我们</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移动司机端</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应用登录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司机输入账号、密码登录应用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行程查看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支持查看待完成和已完成的行程列表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行程开始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开始运营</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当司机在行程起点要发车时，可在司机端操作开始运营，系统将消息通知到乘车人，起点站点未乘车人员则不必再前往乘车，在乘客端进行退票处理，同时后台会对行程进行行程开始处理。</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行程到站</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司机行程中可以查看到达站点的站点信息以及该站点的上下车人数，司机端验证乘客车票二维码，验票上车。</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到站后车载验票终端或者司机端执行验票操作，乘客出示车票二维码在司机端设备上验票上车，验证成功后，将在司机端页面显示验票结果信息，同时支持一键快速验票。一个车票二维码只能使用一次。</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当行程到达终点，司机在司机端确认到达目的地，系统结束当前行程。</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第三方接口</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车载验票终端核销接口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售票系统对接设备，支持电子码、凭证二维码检票，核销车票。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1、支持一码多检。同一个订单并同一个班次，扫任意码，支持全部检票。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2、优惠群体检票，系统提示核验证件。由司机人工核验。</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3、语音提示：优惠票、半票、老人票等票型提示。提示司机做证件核验。</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中山通数据接口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老人卡</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LED发车屏接口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对接售票班次信息，提供班次预测</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硬件</w:t>
            </w:r>
          </w:p>
        </w:tc>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车载核销设备</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APP定制</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UI定制 +显示当班次销售统计</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硬件质保3年、含安装调试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票种验票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可以识别乘客端各种票类别</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票种语音设置</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对于各种优惠票种可设置不同语音</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云服务器A</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满足数据库服务、后端管理服务、负载均衡服务等。（首年云资源服务由服务方提供，后续由用户自行承担）</w:t>
            </w:r>
            <w:r>
              <w:rPr>
                <w:rFonts w:hint="eastAsia" w:ascii="宋体" w:hAnsi="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云服务器B</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云服务器C</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(8vCPU 32GiB)  100GiB 5Mbps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8核、内存32G、数据盘200G、日志盘100G</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负载均衡CLB标准型I (slb.s2.small)公网 20M固定带宽</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6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833"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b/>
                <w:bCs/>
                <w:i w:val="0"/>
                <w:iCs w:val="0"/>
                <w:color w:val="000000"/>
                <w:sz w:val="28"/>
                <w:szCs w:val="28"/>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bl>
    <w:p>
      <w:pPr>
        <w:rPr>
          <w:rFonts w:hint="eastAsia" w:asciiTheme="minorEastAsia" w:hAnsiTheme="minorEastAsia" w:eastAsiaTheme="minorEastAsia" w:cstheme="minorEastAsia"/>
          <w:color w:val="000000"/>
          <w:kern w:val="0"/>
          <w:sz w:val="24"/>
          <w:szCs w:val="24"/>
          <w:highlight w:val="none"/>
          <w:lang w:val="en-US" w:eastAsia="zh-CN" w:bidi="ar-SA"/>
        </w:rPr>
        <w:sectPr>
          <w:pgSz w:w="16840" w:h="11907" w:orient="landscape"/>
          <w:pgMar w:top="1417" w:right="1134" w:bottom="1417" w:left="1134" w:header="624" w:footer="992" w:gutter="0"/>
          <w:cols w:space="720" w:num="1"/>
          <w:docGrid w:linePitch="312" w:charSpace="0"/>
        </w:sectPr>
      </w:pPr>
    </w:p>
    <w:p>
      <w:pPr>
        <w:rPr>
          <w:rFonts w:ascii="宋体" w:hAnsi="宋体" w:cs="宋体"/>
          <w:b/>
          <w:bCs/>
          <w:sz w:val="44"/>
          <w:szCs w:val="44"/>
        </w:rPr>
      </w:pPr>
      <w:r>
        <w:rPr>
          <w:rFonts w:hint="eastAsia" w:ascii="宋体" w:hAnsi="宋体" w:cs="宋体"/>
          <w:b/>
          <w:bCs/>
          <w:sz w:val="24"/>
        </w:rPr>
        <w:t xml:space="preserve">                  </w:t>
      </w:r>
      <w:r>
        <w:rPr>
          <w:rFonts w:hint="eastAsia" w:ascii="宋体" w:hAnsi="宋体" w:cs="宋体"/>
          <w:b/>
          <w:bCs/>
          <w:sz w:val="44"/>
          <w:szCs w:val="44"/>
        </w:rPr>
        <w:t>第三部分  评审标准</w:t>
      </w:r>
    </w:p>
    <w:p>
      <w:pPr>
        <w:adjustRightInd w:val="0"/>
        <w:snapToGrid w:val="0"/>
        <w:spacing w:line="560" w:lineRule="exact"/>
        <w:rPr>
          <w:rFonts w:ascii="宋体" w:hAnsi="宋体" w:cs="宋体"/>
          <w:b/>
          <w:bCs/>
          <w:sz w:val="24"/>
        </w:rPr>
      </w:pPr>
    </w:p>
    <w:p>
      <w:pPr>
        <w:pStyle w:val="2"/>
        <w:spacing w:line="560" w:lineRule="exact"/>
        <w:ind w:firstLine="480" w:firstLineChars="200"/>
        <w:rPr>
          <w:rFonts w:ascii="宋体" w:hAnsi="宋体" w:cs="宋体"/>
          <w:sz w:val="24"/>
        </w:rPr>
      </w:pPr>
      <w:r>
        <w:rPr>
          <w:rFonts w:hint="eastAsia" w:ascii="宋体" w:hAnsi="宋体" w:cs="宋体"/>
          <w:sz w:val="24"/>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二、评审标准为：资格评审+综合评审，共2个环节，评标委员会先进行资格评审，再进行综合评审。只有</w:t>
      </w:r>
      <w:r>
        <w:rPr>
          <w:rFonts w:hint="eastAsia" w:ascii="宋体" w:hAnsi="宋体" w:cs="宋体"/>
          <w:sz w:val="24"/>
          <w:lang w:val="en-US" w:eastAsia="zh-CN"/>
        </w:rPr>
        <w:t>资格</w:t>
      </w:r>
      <w:r>
        <w:rPr>
          <w:rFonts w:hint="eastAsia" w:ascii="宋体" w:hAnsi="宋体" w:cs="宋体"/>
          <w:sz w:val="24"/>
        </w:rPr>
        <w:t>评审结论为“通过”的参评供应商才能进入综合评审。</w:t>
      </w:r>
    </w:p>
    <w:p>
      <w:pPr>
        <w:pStyle w:val="2"/>
        <w:spacing w:line="560" w:lineRule="exact"/>
        <w:ind w:firstLine="480" w:firstLineChars="200"/>
        <w:rPr>
          <w:rFonts w:ascii="宋体" w:hAnsi="宋体" w:cs="宋体"/>
          <w:sz w:val="24"/>
        </w:rPr>
      </w:pPr>
      <w:r>
        <w:rPr>
          <w:rFonts w:hint="eastAsia" w:ascii="宋体" w:hAnsi="宋体" w:cs="宋体"/>
          <w:sz w:val="24"/>
        </w:rPr>
        <w:t>三、资格评审环节由评标委员会全体成员共同评定，对照《资格评审表》和供应商提交的参评文件，采取“一票否决”。</w:t>
      </w:r>
    </w:p>
    <w:p>
      <w:pPr>
        <w:widowControl/>
        <w:spacing w:line="360" w:lineRule="auto"/>
        <w:ind w:firstLine="480" w:firstLineChars="200"/>
        <w:jc w:val="left"/>
        <w:rPr>
          <w:rFonts w:ascii="宋体" w:hAnsi="宋体" w:cs="宋体"/>
          <w:b/>
          <w:bCs/>
          <w:szCs w:val="21"/>
        </w:rPr>
      </w:pPr>
      <w:r>
        <w:rPr>
          <w:rFonts w:hint="eastAsia" w:ascii="宋体" w:hAnsi="宋体" w:cs="宋体"/>
          <w:sz w:val="24"/>
        </w:rPr>
        <w:t>四、综合评审：技术商务评审+价格评审，评分满分为100分，评分分配如下：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vAlign w:val="bottom"/>
          </w:tcPr>
          <w:p>
            <w:pPr>
              <w:spacing w:line="36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技术商务评分</w:t>
            </w:r>
          </w:p>
        </w:tc>
        <w:tc>
          <w:tcPr>
            <w:tcW w:w="2536" w:type="dxa"/>
            <w:tcBorders>
              <w:tl2br w:val="nil"/>
              <w:tr2bl w:val="nil"/>
            </w:tcBorders>
            <w:shd w:val="clear" w:color="auto" w:fill="D9D9D9"/>
            <w:vAlign w:val="bottom"/>
          </w:tcPr>
          <w:p>
            <w:pPr>
              <w:spacing w:line="360" w:lineRule="auto"/>
              <w:jc w:val="center"/>
              <w:rPr>
                <w:rFonts w:ascii="宋体" w:hAnsi="宋体" w:cs="宋体"/>
                <w:b/>
                <w:bCs/>
                <w:sz w:val="24"/>
                <w:szCs w:val="24"/>
              </w:rPr>
            </w:pPr>
            <w:r>
              <w:rPr>
                <w:rFonts w:hint="eastAsia" w:ascii="宋体" w:hAnsi="宋体" w:cs="宋体"/>
                <w:b/>
                <w:bCs/>
                <w:sz w:val="24"/>
                <w:szCs w:val="24"/>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bottom"/>
          </w:tcPr>
          <w:p>
            <w:pPr>
              <w:spacing w:line="360" w:lineRule="auto"/>
              <w:jc w:val="center"/>
              <w:rPr>
                <w:sz w:val="24"/>
                <w:szCs w:val="32"/>
              </w:rPr>
            </w:pPr>
            <w:r>
              <w:rPr>
                <w:rFonts w:hint="eastAsia" w:ascii="宋体" w:hAnsi="宋体" w:cs="宋体"/>
                <w:b/>
                <w:bCs/>
                <w:sz w:val="24"/>
                <w:szCs w:val="24"/>
                <w:lang w:val="en-US" w:eastAsia="zh-CN"/>
              </w:rPr>
              <w:t>60</w:t>
            </w:r>
            <w:r>
              <w:rPr>
                <w:rFonts w:hint="eastAsia" w:ascii="宋体" w:hAnsi="宋体" w:cs="宋体"/>
                <w:b/>
                <w:bCs/>
                <w:sz w:val="24"/>
                <w:szCs w:val="24"/>
              </w:rPr>
              <w:t>分</w:t>
            </w:r>
          </w:p>
        </w:tc>
        <w:tc>
          <w:tcPr>
            <w:tcW w:w="2536" w:type="dxa"/>
            <w:tcBorders>
              <w:tl2br w:val="nil"/>
              <w:tr2bl w:val="nil"/>
            </w:tcBorders>
            <w:vAlign w:val="bottom"/>
          </w:tcPr>
          <w:p>
            <w:pPr>
              <w:spacing w:line="360" w:lineRule="auto"/>
              <w:jc w:val="center"/>
              <w:rPr>
                <w:rFonts w:ascii="宋体" w:hAnsi="宋体" w:cs="宋体"/>
                <w:b/>
                <w:bCs/>
                <w:sz w:val="24"/>
                <w:szCs w:val="24"/>
              </w:rPr>
            </w:pPr>
            <w:r>
              <w:rPr>
                <w:rFonts w:hint="eastAsia" w:ascii="宋体" w:hAnsi="宋体" w:cs="宋体"/>
                <w:b/>
                <w:bCs/>
                <w:sz w:val="24"/>
                <w:szCs w:val="24"/>
                <w:lang w:val="en-US" w:eastAsia="zh-CN"/>
              </w:rPr>
              <w:t>40</w:t>
            </w:r>
            <w:r>
              <w:rPr>
                <w:rFonts w:hint="eastAsia" w:ascii="宋体" w:hAnsi="宋体" w:cs="宋体"/>
                <w:b/>
                <w:bCs/>
                <w:sz w:val="24"/>
                <w:szCs w:val="24"/>
              </w:rPr>
              <w:t>分</w:t>
            </w:r>
          </w:p>
        </w:tc>
      </w:tr>
    </w:tbl>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五、综合评审方法</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（一）技术商务评分：由各个评委按照《技术商务评分表》项目独立进行评分，取平均分为该项最终得分。</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（二）价格评分：</w:t>
      </w:r>
      <w:r>
        <w:rPr>
          <w:rFonts w:hint="eastAsia" w:ascii="宋体" w:hAnsi="宋体" w:cs="宋体"/>
          <w:sz w:val="24"/>
          <w:szCs w:val="24"/>
        </w:rPr>
        <w:t>对通过资格审查的参评供应商进行价格评分，评标委员会校核后的各报价价格定义为评标价格。</w:t>
      </w:r>
      <w:r>
        <w:rPr>
          <w:rFonts w:hint="eastAsia" w:ascii="宋体" w:hAnsi="宋体" w:cs="宋体"/>
          <w:sz w:val="24"/>
        </w:rPr>
        <w:t>取各评标价格的算术平均值为基准价格。当参评</w:t>
      </w:r>
      <w:r>
        <w:rPr>
          <w:rFonts w:hint="eastAsia" w:ascii="宋体" w:hAnsi="宋体" w:cs="宋体"/>
          <w:sz w:val="24"/>
          <w:lang w:val="en-US" w:eastAsia="zh-CN"/>
        </w:rPr>
        <w:t>供应商</w:t>
      </w:r>
      <w:r>
        <w:rPr>
          <w:rFonts w:hint="eastAsia" w:ascii="宋体" w:hAnsi="宋体" w:cs="宋体"/>
          <w:sz w:val="24"/>
        </w:rPr>
        <w:t>的评标价格等于基准价格时为满分</w:t>
      </w:r>
      <w:r>
        <w:rPr>
          <w:rFonts w:hint="eastAsia" w:ascii="宋体" w:hAnsi="宋体" w:cs="宋体"/>
          <w:sz w:val="24"/>
          <w:lang w:val="en-US" w:eastAsia="zh-CN"/>
        </w:rPr>
        <w:t>40</w:t>
      </w:r>
      <w:r>
        <w:rPr>
          <w:rFonts w:hint="eastAsia" w:ascii="宋体" w:hAnsi="宋体" w:cs="宋体"/>
          <w:sz w:val="24"/>
        </w:rPr>
        <w:t>分，高于基准价格的评标价格则按其比例，每高于基准价格的1％减1分，低于基准价格的评标价格也按其比例，每低于基准价格的1％减0.5分，如此类推，扣至0分止。算出所有参评单位的价格</w:t>
      </w:r>
      <w:r>
        <w:rPr>
          <w:rFonts w:hint="eastAsia" w:ascii="宋体" w:hAnsi="宋体" w:cs="宋体"/>
          <w:sz w:val="24"/>
          <w:lang w:val="en-US" w:eastAsia="zh-CN"/>
        </w:rPr>
        <w:t>得</w:t>
      </w:r>
      <w:r>
        <w:rPr>
          <w:rFonts w:hint="eastAsia" w:ascii="宋体" w:hAnsi="宋体" w:cs="宋体"/>
          <w:sz w:val="24"/>
        </w:rPr>
        <w:t>分。分数精确到小数点后2位。</w:t>
      </w:r>
    </w:p>
    <w:p>
      <w:pPr>
        <w:adjustRightInd w:val="0"/>
        <w:snapToGrid w:val="0"/>
        <w:spacing w:line="560" w:lineRule="exact"/>
        <w:ind w:firstLine="480" w:firstLineChars="200"/>
        <w:rPr>
          <w:rFonts w:ascii="宋体" w:hAnsi="宋体" w:cs="宋体"/>
          <w:sz w:val="24"/>
        </w:rPr>
      </w:pPr>
      <w:r>
        <w:rPr>
          <w:rFonts w:hint="eastAsia" w:ascii="宋体" w:hAnsi="宋体" w:cs="宋体"/>
          <w:sz w:val="24"/>
        </w:rPr>
        <w:t>（三）根据技术商务及价格的综合评分，计算各参评单位的总得分。按得分从高到低排名（得分相同时，报价低者优先）。</w:t>
      </w:r>
    </w:p>
    <w:p>
      <w:pPr>
        <w:pStyle w:val="2"/>
        <w:widowControl/>
        <w:spacing w:line="560" w:lineRule="exact"/>
        <w:ind w:firstLine="480" w:firstLineChars="200"/>
        <w:rPr>
          <w:rFonts w:ascii="宋体" w:hAnsi="宋体" w:cs="宋体"/>
          <w:sz w:val="24"/>
        </w:rPr>
      </w:pPr>
      <w:r>
        <w:rPr>
          <w:rFonts w:hint="eastAsia" w:ascii="宋体" w:hAnsi="宋体" w:cs="宋体"/>
          <w:sz w:val="24"/>
        </w:rPr>
        <w:t>六、评审结果</w:t>
      </w:r>
    </w:p>
    <w:p>
      <w:pPr>
        <w:pStyle w:val="2"/>
        <w:spacing w:line="560" w:lineRule="exact"/>
        <w:ind w:firstLine="480" w:firstLineChars="200"/>
        <w:rPr>
          <w:rFonts w:ascii="宋体" w:hAnsi="宋体" w:cs="宋体"/>
          <w:sz w:val="24"/>
        </w:rPr>
      </w:pPr>
      <w:r>
        <w:rPr>
          <w:rFonts w:hint="eastAsia" w:ascii="宋体" w:hAnsi="宋体" w:cs="宋体"/>
          <w:sz w:val="24"/>
        </w:rPr>
        <w:t>根据综合评审得分，得分最高的参评供应商为</w:t>
      </w:r>
      <w:r>
        <w:rPr>
          <w:rFonts w:ascii="宋体" w:hAnsi="宋体" w:cs="宋体"/>
          <w:sz w:val="24"/>
        </w:rPr>
        <w:t>第一</w:t>
      </w:r>
      <w:r>
        <w:rPr>
          <w:rFonts w:hint="eastAsia" w:ascii="宋体" w:hAnsi="宋体" w:cs="宋体"/>
          <w:sz w:val="24"/>
        </w:rPr>
        <w:t>中选候选人，经结果公示程序后，由采购人向第一中选候选人发出</w:t>
      </w:r>
      <w:r>
        <w:rPr>
          <w:rFonts w:hint="eastAsia" w:ascii="宋体" w:hAnsi="宋体" w:cs="宋体"/>
          <w:bCs/>
          <w:snapToGrid w:val="0"/>
          <w:kern w:val="0"/>
          <w:sz w:val="24"/>
        </w:rPr>
        <w:t>《</w:t>
      </w:r>
      <w:r>
        <w:rPr>
          <w:rFonts w:hint="eastAsia" w:ascii="宋体" w:hAnsi="宋体" w:cs="宋体"/>
          <w:bCs/>
          <w:snapToGrid w:val="0"/>
          <w:kern w:val="0"/>
          <w:sz w:val="24"/>
          <w:lang w:val="en-US" w:eastAsia="zh-CN"/>
        </w:rPr>
        <w:t>中</w:t>
      </w:r>
      <w:r>
        <w:rPr>
          <w:rFonts w:hint="eastAsia" w:ascii="宋体" w:hAnsi="宋体" w:cs="宋体"/>
          <w:bCs/>
          <w:snapToGrid w:val="0"/>
          <w:kern w:val="0"/>
          <w:sz w:val="24"/>
        </w:rPr>
        <w:t>选通知书》，并</w:t>
      </w:r>
      <w:r>
        <w:rPr>
          <w:rFonts w:hint="eastAsia" w:ascii="宋体" w:hAnsi="宋体" w:cs="宋体"/>
          <w:sz w:val="24"/>
        </w:rPr>
        <w:t>确认意向。如第一中选候选人因故不能履约的，采购人可以确定第二中选候选人为中选供应商，以此类推。</w:t>
      </w:r>
    </w:p>
    <w:p>
      <w:pPr>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rPr>
        <w:t>七、资格评审表</w:t>
      </w:r>
    </w:p>
    <w:p>
      <w:pPr>
        <w:pStyle w:val="44"/>
        <w:spacing w:line="240" w:lineRule="auto"/>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资格评审表</w:t>
      </w:r>
    </w:p>
    <w:p>
      <w:pPr>
        <w:adjustRightInd w:val="0"/>
        <w:snapToGrid w:val="0"/>
        <w:jc w:val="center"/>
        <w:rPr>
          <w:rFonts w:ascii="宋体" w:hAnsi="宋体" w:cs="宋体"/>
          <w:b/>
          <w:bCs/>
          <w:sz w:val="44"/>
          <w:szCs w:val="44"/>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pPr>
              <w:rPr>
                <w:rFonts w:ascii="宋体" w:hAnsi="宋体" w:cs="宋体"/>
                <w:sz w:val="24"/>
              </w:rPr>
            </w:pPr>
            <w:r>
              <w:rPr>
                <w:rFonts w:hint="eastAsia" w:ascii="宋体" w:hAnsi="宋体" w:cs="宋体"/>
                <w:sz w:val="24"/>
              </w:rPr>
              <w:t>序号</w:t>
            </w:r>
          </w:p>
        </w:tc>
        <w:tc>
          <w:tcPr>
            <w:tcW w:w="5758" w:type="dxa"/>
            <w:vAlign w:val="center"/>
          </w:tcPr>
          <w:p>
            <w:pPr>
              <w:jc w:val="center"/>
              <w:rPr>
                <w:rFonts w:ascii="宋体" w:hAnsi="宋体" w:cs="宋体"/>
                <w:sz w:val="24"/>
              </w:rPr>
            </w:pPr>
            <w:r>
              <w:rPr>
                <w:rFonts w:hint="eastAsia" w:ascii="宋体" w:hAnsi="宋体" w:cs="宋体"/>
                <w:sz w:val="24"/>
              </w:rPr>
              <w:t>评审内容</w:t>
            </w:r>
          </w:p>
        </w:tc>
        <w:tc>
          <w:tcPr>
            <w:tcW w:w="1022" w:type="dxa"/>
            <w:vAlign w:val="center"/>
          </w:tcPr>
          <w:p>
            <w:pPr>
              <w:jc w:val="center"/>
              <w:rPr>
                <w:rFonts w:ascii="宋体" w:hAnsi="宋体" w:cs="宋体"/>
                <w:sz w:val="24"/>
              </w:rPr>
            </w:pPr>
            <w:r>
              <w:rPr>
                <w:rFonts w:hint="eastAsia" w:ascii="宋体" w:hAnsi="宋体" w:cs="宋体"/>
                <w:sz w:val="24"/>
              </w:rPr>
              <w:t>供应商A</w:t>
            </w:r>
          </w:p>
        </w:tc>
        <w:tc>
          <w:tcPr>
            <w:tcW w:w="1046" w:type="dxa"/>
            <w:vAlign w:val="center"/>
          </w:tcPr>
          <w:p>
            <w:pPr>
              <w:jc w:val="center"/>
              <w:rPr>
                <w:rFonts w:ascii="宋体" w:hAnsi="宋体" w:cs="宋体"/>
                <w:sz w:val="24"/>
              </w:rPr>
            </w:pPr>
            <w:r>
              <w:rPr>
                <w:rFonts w:hint="eastAsia" w:ascii="宋体" w:hAnsi="宋体" w:cs="宋体"/>
                <w:sz w:val="24"/>
              </w:rPr>
              <w:t>供应商B</w:t>
            </w:r>
          </w:p>
        </w:tc>
        <w:tc>
          <w:tcPr>
            <w:tcW w:w="1021" w:type="dxa"/>
            <w:vAlign w:val="center"/>
          </w:tcPr>
          <w:p>
            <w:pPr>
              <w:jc w:val="center"/>
              <w:rPr>
                <w:rFonts w:ascii="宋体" w:hAnsi="宋体" w:cs="宋体"/>
                <w:sz w:val="24"/>
              </w:rPr>
            </w:pPr>
            <w:r>
              <w:rPr>
                <w:rFonts w:hint="eastAsia" w:ascii="宋体" w:hAnsi="宋体" w:cs="宋体"/>
                <w:sz w:val="24"/>
              </w:rPr>
              <w:t>供应商C</w:t>
            </w:r>
          </w:p>
        </w:tc>
        <w:tc>
          <w:tcPr>
            <w:tcW w:w="1021" w:type="dxa"/>
            <w:vAlign w:val="center"/>
          </w:tcPr>
          <w:p>
            <w:pPr>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1</w:t>
            </w:r>
          </w:p>
        </w:tc>
        <w:tc>
          <w:tcPr>
            <w:tcW w:w="5758" w:type="dxa"/>
            <w:vAlign w:val="center"/>
          </w:tcPr>
          <w:p>
            <w:r>
              <w:rPr>
                <w:rFonts w:hint="eastAsia"/>
              </w:rPr>
              <w:t>具有独立承担民事责任能力的在中华人民共和国境内注册的企业法人或其他社会组织，提供营业执照等。</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rPr>
            </w:pPr>
            <w:r>
              <w:rPr>
                <w:rFonts w:hint="eastAsia" w:ascii="宋体" w:hAnsi="宋体" w:cs="宋体"/>
                <w:sz w:val="24"/>
              </w:rPr>
              <w:t>2</w:t>
            </w:r>
          </w:p>
        </w:tc>
        <w:tc>
          <w:tcPr>
            <w:tcW w:w="5758" w:type="dxa"/>
            <w:vAlign w:val="center"/>
          </w:tcPr>
          <w:p>
            <w:r>
              <w:rPr>
                <w:rFonts w:hint="eastAsia"/>
              </w:rPr>
              <w:t>参评供应商的</w:t>
            </w:r>
            <w:r>
              <w:rPr>
                <w:rFonts w:hint="eastAsia" w:ascii="Times New Roman" w:hAnsi="Times New Roman" w:eastAsia="宋体" w:cs="Times New Roman"/>
              </w:rPr>
              <w:t>经营范围包含</w:t>
            </w:r>
            <w:r>
              <w:rPr>
                <w:rFonts w:hint="eastAsia" w:ascii="Times New Roman" w:hAnsi="Times New Roman" w:eastAsia="宋体" w:cs="Times New Roman"/>
                <w:lang w:val="en-US" w:eastAsia="zh-CN"/>
              </w:rPr>
              <w:t>软件开发、信息系统集成</w:t>
            </w:r>
            <w:r>
              <w:rPr>
                <w:rFonts w:hint="eastAsia" w:ascii="Times New Roman" w:hAnsi="Times New Roman" w:eastAsia="宋体" w:cs="Times New Roman"/>
              </w:rPr>
              <w:t>等相关</w:t>
            </w:r>
            <w:r>
              <w:rPr>
                <w:rFonts w:hint="eastAsia" w:ascii="Times New Roman" w:hAnsi="Times New Roman" w:eastAsia="宋体" w:cs="Times New Roman"/>
                <w:lang w:val="en-US" w:eastAsia="zh-CN"/>
              </w:rPr>
              <w:t>经营范围</w:t>
            </w:r>
            <w:r>
              <w:rPr>
                <w:rFonts w:hint="eastAsia" w:ascii="Times New Roman" w:hAnsi="Times New Roman" w:eastAsia="宋体" w:cs="Times New Roman"/>
              </w:rPr>
              <w:t>。</w:t>
            </w:r>
            <w:r>
              <w:rPr>
                <w:rFonts w:hint="eastAsia"/>
              </w:rPr>
              <w:t>（提供企业营业执照</w:t>
            </w:r>
            <w:r>
              <w:rPr>
                <w:rFonts w:hint="eastAsia"/>
                <w:lang w:val="en-US" w:eastAsia="zh-CN"/>
              </w:rPr>
              <w:t>并按要注加盖公章</w:t>
            </w:r>
            <w:r>
              <w:rPr>
                <w:rFonts w:hint="eastAsia"/>
              </w:rPr>
              <w:t>）</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rPr>
            </w:pPr>
            <w:r>
              <w:rPr>
                <w:rFonts w:hint="eastAsia" w:ascii="宋体" w:hAnsi="宋体" w:cs="宋体"/>
                <w:sz w:val="24"/>
              </w:rPr>
              <w:t>3</w:t>
            </w:r>
          </w:p>
        </w:tc>
        <w:tc>
          <w:tcPr>
            <w:tcW w:w="5758" w:type="dxa"/>
            <w:vAlign w:val="center"/>
          </w:tcPr>
          <w:p>
            <w:pPr>
              <w:rPr>
                <w:rFonts w:hint="default" w:eastAsia="宋体"/>
                <w:lang w:val="en-US" w:eastAsia="zh-CN"/>
              </w:rPr>
            </w:pPr>
            <w:r>
              <w:rPr>
                <w:rFonts w:hint="eastAsia"/>
                <w:lang w:val="en-US" w:eastAsia="zh-CN"/>
              </w:rPr>
              <w:t>供应商承诺不得以任何方式转包或分包本项目。</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5758" w:type="dxa"/>
            <w:vAlign w:val="center"/>
          </w:tcPr>
          <w:p>
            <w:pPr>
              <w:rPr>
                <w:rFonts w:hint="eastAsia"/>
              </w:rPr>
            </w:pPr>
            <w:r>
              <w:rPr>
                <w:rFonts w:hint="eastAsia"/>
              </w:rPr>
              <w:t>参评供应商满足本项目的主要需求，填写《需求响应表》并全部完全响应，无负偏离。</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758" w:type="dxa"/>
            <w:vAlign w:val="center"/>
          </w:tcPr>
          <w:p>
            <w:r>
              <w:rPr>
                <w:rFonts w:hint="eastAsia"/>
              </w:rPr>
              <w:t>非联合体</w:t>
            </w:r>
            <w:r>
              <w:rPr>
                <w:rFonts w:hint="eastAsia"/>
                <w:lang w:val="en-US" w:eastAsia="zh-CN"/>
              </w:rPr>
              <w:t>潜在供应商</w:t>
            </w:r>
            <w:r>
              <w:rPr>
                <w:rFonts w:hint="eastAsia"/>
                <w:sz w:val="24"/>
              </w:rPr>
              <w:t>参评</w:t>
            </w:r>
            <w:r>
              <w:rPr>
                <w:rFonts w:hint="eastAsia"/>
                <w:sz w:val="24"/>
                <w:lang w:val="en-US" w:eastAsia="zh-CN"/>
              </w:rPr>
              <w:t>报价</w:t>
            </w:r>
            <w:r>
              <w:rPr>
                <w:rFonts w:hint="eastAsia"/>
                <w:sz w:val="24"/>
              </w:rPr>
              <w:t>。</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758" w:type="dxa"/>
            <w:vAlign w:val="center"/>
          </w:tcPr>
          <w:p>
            <w:r>
              <w:rPr>
                <w:rFonts w:hint="eastAsia"/>
              </w:rPr>
              <w:t>报价为唯一固定价且未超过报价</w:t>
            </w:r>
            <w:r>
              <w:rPr>
                <w:rFonts w:hint="eastAsia"/>
                <w:lang w:val="en-US" w:eastAsia="zh-CN"/>
              </w:rPr>
              <w:t>上</w:t>
            </w:r>
            <w:r>
              <w:rPr>
                <w:rFonts w:hint="eastAsia"/>
              </w:rPr>
              <w:t>限。</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5758" w:type="dxa"/>
            <w:vAlign w:val="center"/>
          </w:tcPr>
          <w:p>
            <w:r>
              <w:rPr>
                <w:rFonts w:hint="eastAsia" w:ascii="宋体" w:hAnsi="宋体" w:eastAsia="宋体" w:cs="宋体"/>
                <w:bCs/>
                <w:color w:val="000000"/>
                <w:szCs w:val="21"/>
                <w:highlight w:val="none"/>
                <w:lang w:val="en-US" w:eastAsia="zh-CN"/>
              </w:rPr>
              <w:t>供应商承诺所提供材料真实、准确，并随时接受采购人核实查验。</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8</w:t>
            </w:r>
          </w:p>
        </w:tc>
        <w:tc>
          <w:tcPr>
            <w:tcW w:w="5758" w:type="dxa"/>
            <w:vAlign w:val="center"/>
          </w:tcPr>
          <w:p>
            <w:pPr>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w:t>
            </w:r>
            <w:r>
              <w:rPr>
                <w:rFonts w:hint="eastAsia" w:ascii="宋体" w:hAnsi="宋体" w:cs="宋体"/>
                <w:bCs/>
                <w:color w:val="000000"/>
                <w:szCs w:val="21"/>
                <w:highlight w:val="none"/>
                <w:lang w:val="en-US" w:eastAsia="zh-CN"/>
              </w:rPr>
              <w:t>采购</w:t>
            </w:r>
            <w:r>
              <w:rPr>
                <w:rFonts w:hint="eastAsia" w:ascii="宋体" w:hAnsi="宋体" w:eastAsia="宋体" w:cs="宋体"/>
                <w:bCs/>
                <w:color w:val="000000"/>
                <w:szCs w:val="21"/>
                <w:highlight w:val="none"/>
                <w:lang w:val="en-US" w:eastAsia="zh-CN"/>
              </w:rPr>
              <w:t>文件要求的其他条件（如装订要求、密封要求、盖章签署要求等）。</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pPr>
              <w:jc w:val="center"/>
            </w:pPr>
            <w:r>
              <w:rPr>
                <w:rFonts w:hint="eastAsia" w:ascii="宋体" w:hAnsi="宋体" w:cs="宋体"/>
                <w:sz w:val="24"/>
              </w:rPr>
              <w:t>评审结论</w:t>
            </w:r>
          </w:p>
        </w:tc>
        <w:tc>
          <w:tcPr>
            <w:tcW w:w="1022" w:type="dxa"/>
            <w:vAlign w:val="center"/>
          </w:tcPr>
          <w:p>
            <w:pPr>
              <w:rPr>
                <w:rFonts w:ascii="宋体" w:hAnsi="宋体" w:cs="宋体"/>
                <w:sz w:val="24"/>
              </w:rPr>
            </w:pPr>
          </w:p>
        </w:tc>
        <w:tc>
          <w:tcPr>
            <w:tcW w:w="1046" w:type="dxa"/>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pPr>
              <w:jc w:val="center"/>
              <w:rPr>
                <w:rFonts w:ascii="宋体" w:hAnsi="宋体" w:cs="宋体"/>
                <w:sz w:val="24"/>
              </w:rPr>
            </w:pPr>
            <w:r>
              <w:rPr>
                <w:rFonts w:hint="eastAsia" w:ascii="宋体" w:hAnsi="宋体" w:cs="宋体"/>
                <w:sz w:val="24"/>
              </w:rPr>
              <w:t>不通过原因</w:t>
            </w:r>
          </w:p>
        </w:tc>
        <w:tc>
          <w:tcPr>
            <w:tcW w:w="1022" w:type="dxa"/>
            <w:vAlign w:val="center"/>
          </w:tcPr>
          <w:p>
            <w:pPr>
              <w:rPr>
                <w:rFonts w:ascii="宋体" w:hAnsi="宋体" w:cs="宋体"/>
                <w:sz w:val="24"/>
              </w:rPr>
            </w:pPr>
          </w:p>
        </w:tc>
        <w:tc>
          <w:tcPr>
            <w:tcW w:w="1046" w:type="dxa"/>
            <w:vAlign w:val="center"/>
          </w:tcPr>
          <w:p>
            <w:pPr>
              <w:rPr>
                <w:rFonts w:ascii="宋体" w:hAnsi="宋体" w:cs="宋体"/>
                <w:sz w:val="24"/>
              </w:rPr>
            </w:pPr>
          </w:p>
        </w:tc>
        <w:tc>
          <w:tcPr>
            <w:tcW w:w="1021" w:type="dxa"/>
          </w:tcPr>
          <w:p>
            <w:pPr>
              <w:rPr>
                <w:rFonts w:ascii="宋体" w:hAnsi="宋体" w:cs="宋体"/>
                <w:sz w:val="24"/>
              </w:rPr>
            </w:pPr>
          </w:p>
        </w:tc>
        <w:tc>
          <w:tcPr>
            <w:tcW w:w="1021" w:type="dxa"/>
          </w:tcPr>
          <w:p>
            <w:pPr>
              <w:rPr>
                <w:rFonts w:ascii="宋体" w:hAnsi="宋体" w:cs="宋体"/>
                <w:sz w:val="24"/>
              </w:rPr>
            </w:pPr>
          </w:p>
        </w:tc>
      </w:tr>
    </w:tbl>
    <w:p>
      <w:pPr>
        <w:adjustRightInd w:val="0"/>
        <w:snapToGrid w:val="0"/>
        <w:rPr>
          <w:rFonts w:ascii="宋体" w:hAnsi="宋体" w:cs="宋体"/>
          <w:bCs/>
          <w:sz w:val="24"/>
        </w:rPr>
      </w:pPr>
      <w:r>
        <w:rPr>
          <w:rFonts w:hint="eastAsia" w:ascii="宋体" w:hAnsi="宋体" w:cs="宋体"/>
          <w:bCs/>
          <w:sz w:val="24"/>
        </w:rPr>
        <w:t>备注：</w:t>
      </w:r>
    </w:p>
    <w:p>
      <w:pPr>
        <w:adjustRightInd w:val="0"/>
        <w:snapToGrid w:val="0"/>
        <w:ind w:firstLine="480" w:firstLineChars="200"/>
        <w:rPr>
          <w:rFonts w:ascii="宋体" w:hAnsi="宋体" w:cs="宋体"/>
          <w:bCs/>
          <w:sz w:val="24"/>
        </w:rPr>
      </w:pPr>
      <w:r>
        <w:rPr>
          <w:rFonts w:hint="eastAsia" w:ascii="宋体" w:hAnsi="宋体" w:cs="宋体"/>
          <w:bCs/>
          <w:sz w:val="24"/>
        </w:rPr>
        <w:t>1．评标委员会对参评供应商是否满足要求逐条标注评审意见，符合的打“〇”，不符合的打“×”；</w:t>
      </w:r>
    </w:p>
    <w:p>
      <w:pPr>
        <w:adjustRightInd w:val="0"/>
        <w:snapToGrid w:val="0"/>
        <w:ind w:firstLine="480" w:firstLineChars="200"/>
        <w:rPr>
          <w:rFonts w:ascii="宋体" w:hAnsi="宋体" w:cs="宋体"/>
          <w:bCs/>
          <w:sz w:val="24"/>
        </w:rPr>
      </w:pPr>
      <w:r>
        <w:rPr>
          <w:rFonts w:hint="eastAsia" w:ascii="宋体" w:hAnsi="宋体" w:cs="宋体"/>
          <w:bCs/>
          <w:sz w:val="24"/>
        </w:rPr>
        <w:t>2．全部打“〇”的，评审结论栏填写“通过”；出现一项“×”，评审结论填写“不通过”，对评审结论为“不通过”的要说明原因。</w:t>
      </w:r>
    </w:p>
    <w:p>
      <w:pPr>
        <w:adjustRightInd w:val="0"/>
        <w:snapToGrid w:val="0"/>
        <w:ind w:firstLine="480" w:firstLineChars="200"/>
        <w:rPr>
          <w:rFonts w:ascii="宋体" w:hAnsi="宋体" w:cs="宋体"/>
          <w:bCs/>
          <w:sz w:val="24"/>
        </w:rPr>
      </w:pPr>
      <w:r>
        <w:rPr>
          <w:rFonts w:hint="eastAsia" w:ascii="宋体" w:hAnsi="宋体" w:cs="宋体"/>
          <w:bCs/>
          <w:sz w:val="24"/>
        </w:rPr>
        <w:t>3．评审结论为“通过”的，方可参与下一阶段的评审。</w:t>
      </w:r>
    </w:p>
    <w:p>
      <w:pPr>
        <w:spacing w:line="560" w:lineRule="exact"/>
        <w:rPr>
          <w:rFonts w:ascii="宋体" w:hAnsi="宋体" w:cs="宋体"/>
          <w:sz w:val="24"/>
        </w:rPr>
      </w:pPr>
    </w:p>
    <w:p>
      <w:pPr>
        <w:adjustRightInd w:val="0"/>
        <w:snapToGrid w:val="0"/>
        <w:spacing w:line="560" w:lineRule="exact"/>
        <w:rPr>
          <w:rFonts w:hint="eastAsia" w:ascii="宋体" w:hAnsi="宋体" w:cs="宋体"/>
          <w:bCs/>
          <w:sz w:val="24"/>
        </w:rPr>
      </w:pPr>
      <w:r>
        <w:rPr>
          <w:rFonts w:hint="eastAsia" w:ascii="宋体" w:hAnsi="宋体" w:cs="宋体"/>
          <w:sz w:val="24"/>
        </w:rPr>
        <w:t>评标委员会</w:t>
      </w:r>
      <w:r>
        <w:rPr>
          <w:rFonts w:hint="eastAsia" w:ascii="宋体" w:hAnsi="宋体" w:cs="宋体"/>
          <w:bCs/>
          <w:sz w:val="24"/>
        </w:rPr>
        <w:t xml:space="preserve">全体成员签名：                         </w:t>
      </w:r>
    </w:p>
    <w:p>
      <w:pPr>
        <w:adjustRightInd w:val="0"/>
        <w:snapToGrid w:val="0"/>
        <w:spacing w:line="560" w:lineRule="exact"/>
        <w:rPr>
          <w:rFonts w:ascii="宋体" w:hAnsi="宋体" w:cs="宋体"/>
          <w:bCs/>
          <w:sz w:val="24"/>
        </w:rPr>
      </w:pPr>
      <w:r>
        <w:rPr>
          <w:rFonts w:hint="eastAsia" w:ascii="宋体" w:hAnsi="宋体" w:cs="宋体"/>
          <w:bCs/>
          <w:sz w:val="24"/>
        </w:rPr>
        <w:t>评审日期：</w:t>
      </w:r>
    </w:p>
    <w:p>
      <w:pPr>
        <w:rPr>
          <w:rFonts w:ascii="宋体" w:hAnsi="宋体" w:cs="宋体"/>
          <w:sz w:val="24"/>
        </w:rPr>
      </w:pPr>
    </w:p>
    <w:p>
      <w:pPr>
        <w:rPr>
          <w:rFonts w:ascii="宋体" w:hAnsi="宋体" w:cs="宋体"/>
          <w:sz w:val="24"/>
        </w:rPr>
      </w:pPr>
    </w:p>
    <w:p>
      <w:pPr>
        <w:rPr>
          <w:rFonts w:ascii="宋体" w:hAnsi="宋体" w:cs="宋体"/>
          <w:sz w:val="24"/>
        </w:rPr>
        <w:sectPr>
          <w:pgSz w:w="11907" w:h="16840"/>
          <w:pgMar w:top="1134" w:right="1417" w:bottom="1134" w:left="1417" w:header="624" w:footer="992" w:gutter="0"/>
          <w:cols w:space="720" w:num="1"/>
          <w:docGrid w:linePitch="312" w:charSpace="0"/>
        </w:sectPr>
      </w:pPr>
    </w:p>
    <w:p>
      <w:pPr>
        <w:ind w:firstLine="480" w:firstLineChars="200"/>
        <w:rPr>
          <w:rFonts w:ascii="宋体" w:hAnsi="宋体" w:cs="宋体"/>
          <w:sz w:val="24"/>
        </w:rPr>
      </w:pPr>
      <w:r>
        <w:rPr>
          <w:rFonts w:hint="eastAsia" w:ascii="宋体" w:hAnsi="宋体" w:cs="宋体"/>
          <w:sz w:val="24"/>
        </w:rPr>
        <w:t>八、技术商务评分表</w:t>
      </w:r>
    </w:p>
    <w:p>
      <w:pPr>
        <w:jc w:val="center"/>
        <w:rPr>
          <w:rFonts w:ascii="宋体" w:hAnsi="宋体" w:cs="宋体"/>
          <w:b/>
          <w:bCs/>
          <w:sz w:val="44"/>
          <w:szCs w:val="44"/>
        </w:rPr>
      </w:pPr>
    </w:p>
    <w:p>
      <w:pPr>
        <w:jc w:val="center"/>
        <w:rPr>
          <w:rFonts w:ascii="宋体" w:hAnsi="宋体"/>
          <w:b/>
          <w:sz w:val="32"/>
          <w:szCs w:val="32"/>
        </w:rPr>
      </w:pPr>
      <w:r>
        <w:rPr>
          <w:rFonts w:hint="eastAsia" w:ascii="宋体" w:hAnsi="宋体" w:cs="宋体"/>
          <w:b/>
          <w:bCs/>
          <w:sz w:val="44"/>
          <w:szCs w:val="44"/>
        </w:rPr>
        <w:t>技术商务评分表</w:t>
      </w:r>
    </w:p>
    <w:p>
      <w:pPr>
        <w:jc w:val="center"/>
        <w:rPr>
          <w:rFonts w:ascii="宋体" w:hAnsi="宋体"/>
          <w:b/>
          <w:sz w:val="32"/>
          <w:szCs w:val="32"/>
        </w:rPr>
      </w:pPr>
    </w:p>
    <w:tbl>
      <w:tblPr>
        <w:tblStyle w:val="33"/>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1"/>
        <w:gridCol w:w="705"/>
        <w:gridCol w:w="4612"/>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序号</w:t>
            </w:r>
          </w:p>
        </w:tc>
        <w:tc>
          <w:tcPr>
            <w:tcW w:w="771"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评审项目</w:t>
            </w:r>
          </w:p>
        </w:tc>
        <w:tc>
          <w:tcPr>
            <w:tcW w:w="705"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分配分数</w:t>
            </w:r>
          </w:p>
        </w:tc>
        <w:tc>
          <w:tcPr>
            <w:tcW w:w="4612"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vAlign w:val="center"/>
          </w:tcPr>
          <w:p>
            <w:pPr>
              <w:snapToGrid w:val="0"/>
              <w:jc w:val="center"/>
              <w:rPr>
                <w:rFonts w:ascii="宋体" w:hAnsi="宋体" w:cs="宋体"/>
                <w:b/>
                <w:bCs/>
                <w:szCs w:val="21"/>
              </w:rPr>
            </w:pPr>
          </w:p>
        </w:tc>
        <w:tc>
          <w:tcPr>
            <w:tcW w:w="771"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705"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4612"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b/>
                <w:bCs/>
                <w:szCs w:val="21"/>
              </w:rPr>
              <w:t>供应商A</w:t>
            </w: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bCs/>
                <w:szCs w:val="21"/>
              </w:rPr>
            </w:pPr>
            <w:r>
              <w:rPr>
                <w:rFonts w:hint="eastAsia" w:ascii="宋体" w:hAnsi="宋体" w:cs="宋体"/>
                <w:b/>
                <w:bCs/>
                <w:szCs w:val="21"/>
              </w:rPr>
              <w:t>供应商B</w:t>
            </w: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b/>
                <w:bCs/>
                <w:szCs w:val="21"/>
              </w:rPr>
            </w:pPr>
            <w:r>
              <w:rPr>
                <w:rFonts w:hint="eastAsia" w:ascii="宋体" w:hAnsi="宋体" w:cs="宋体"/>
                <w:b/>
                <w:bCs/>
                <w:szCs w:val="21"/>
              </w:rPr>
              <w:t>供应商C</w:t>
            </w: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b/>
                <w:bCs/>
                <w:szCs w:val="21"/>
              </w:rPr>
            </w:pPr>
            <w:r>
              <w:rPr>
                <w:rFonts w:hint="eastAsia" w:ascii="宋体" w:hAnsi="宋体" w:cs="宋体"/>
                <w:b/>
                <w:bCs/>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851" w:type="dxa"/>
            <w:tcBorders>
              <w:top w:val="single" w:color="auto" w:sz="6" w:space="0"/>
              <w:left w:val="double" w:color="auto" w:sz="2" w:space="0"/>
              <w:right w:val="single" w:color="auto" w:sz="6" w:space="0"/>
            </w:tcBorders>
            <w:vAlign w:val="center"/>
          </w:tcPr>
          <w:p>
            <w:pPr>
              <w:numPr>
                <w:ilvl w:val="0"/>
                <w:numId w:val="11"/>
              </w:numPr>
              <w:snapToGrid w:val="0"/>
              <w:jc w:val="center"/>
              <w:rPr>
                <w:rFonts w:hint="default" w:ascii="宋体" w:hAnsi="宋体" w:cs="宋体"/>
                <w:szCs w:val="21"/>
                <w:lang w:val="en-US"/>
              </w:rPr>
            </w:pPr>
          </w:p>
        </w:tc>
        <w:tc>
          <w:tcPr>
            <w:tcW w:w="771" w:type="dxa"/>
            <w:tcBorders>
              <w:top w:val="single" w:color="auto" w:sz="6" w:space="0"/>
              <w:left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系统建设方案</w:t>
            </w:r>
          </w:p>
        </w:tc>
        <w:tc>
          <w:tcPr>
            <w:tcW w:w="705" w:type="dxa"/>
            <w:tcBorders>
              <w:top w:val="single" w:color="auto" w:sz="6" w:space="0"/>
              <w:left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612" w:type="dxa"/>
            <w:tcBorders>
              <w:top w:val="single" w:color="auto" w:sz="6" w:space="0"/>
              <w:left w:val="single" w:color="auto" w:sz="6" w:space="0"/>
              <w:bottom w:val="single" w:color="auto" w:sz="4" w:space="0"/>
              <w:right w:val="single" w:color="auto" w:sz="6" w:space="0"/>
            </w:tcBorders>
            <w:vAlign w:val="center"/>
          </w:tcPr>
          <w:p>
            <w:pPr>
              <w:tabs>
                <w:tab w:val="left" w:pos="640"/>
              </w:tabs>
              <w:autoSpaceDN w:val="0"/>
              <w:spacing w:line="2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编制的系统建设方案（包括对用户需求的理解，遵循的技术规范，系统设计的合理性、系统功能</w:t>
            </w:r>
            <w:r>
              <w:rPr>
                <w:rFonts w:hint="eastAsia" w:ascii="宋体" w:hAnsi="宋体" w:cs="宋体"/>
                <w:color w:val="auto"/>
                <w:kern w:val="0"/>
                <w:szCs w:val="21"/>
                <w:highlight w:val="none"/>
                <w:lang w:val="en-US" w:eastAsia="zh-CN"/>
              </w:rPr>
              <w:t>接口</w:t>
            </w:r>
            <w:r>
              <w:rPr>
                <w:rFonts w:hint="eastAsia" w:ascii="宋体" w:hAnsi="宋体" w:cs="宋体"/>
                <w:color w:val="auto"/>
                <w:kern w:val="0"/>
                <w:szCs w:val="21"/>
                <w:highlight w:val="none"/>
              </w:rPr>
              <w:t>等方面）与项目实际情况结合的程度以及可行性进行综合评比；</w:t>
            </w:r>
          </w:p>
          <w:p>
            <w:pPr>
              <w:tabs>
                <w:tab w:val="left" w:pos="640"/>
              </w:tabs>
              <w:autoSpaceDN w:val="0"/>
              <w:spacing w:line="2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1.整体方案科学、详细、规范、合理、安全</w:t>
            </w:r>
            <w:r>
              <w:rPr>
                <w:rFonts w:hint="eastAsia" w:ascii="宋体" w:hAnsi="宋体" w:cs="宋体"/>
                <w:color w:val="auto"/>
                <w:kern w:val="0"/>
                <w:szCs w:val="21"/>
                <w:highlight w:val="none"/>
                <w:lang w:val="en-US" w:eastAsia="zh-CN"/>
              </w:rPr>
              <w:t>的，得15</w:t>
            </w:r>
            <w:r>
              <w:rPr>
                <w:rFonts w:hint="eastAsia" w:ascii="宋体" w:hAnsi="宋体" w:cs="宋体"/>
                <w:color w:val="auto"/>
                <w:kern w:val="0"/>
                <w:szCs w:val="21"/>
                <w:highlight w:val="none"/>
              </w:rPr>
              <w:t>分；</w:t>
            </w:r>
          </w:p>
          <w:p>
            <w:pPr>
              <w:tabs>
                <w:tab w:val="left" w:pos="640"/>
              </w:tabs>
              <w:autoSpaceDN w:val="0"/>
              <w:spacing w:line="2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2.整体方案满足使用需要</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lang w:eastAsia="zh-CN"/>
              </w:rPr>
              <w:t>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tabs>
                <w:tab w:val="left" w:pos="640"/>
              </w:tabs>
              <w:autoSpaceDN w:val="0"/>
              <w:spacing w:line="2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3.整体方案</w:t>
            </w:r>
            <w:r>
              <w:rPr>
                <w:rFonts w:hint="eastAsia" w:ascii="宋体" w:hAnsi="宋体" w:cs="宋体"/>
                <w:color w:val="auto"/>
                <w:kern w:val="0"/>
                <w:szCs w:val="21"/>
                <w:highlight w:val="none"/>
                <w:lang w:val="en-US" w:eastAsia="zh-CN"/>
              </w:rPr>
              <w:t>基本满足使用需要的，得5</w:t>
            </w:r>
            <w:r>
              <w:rPr>
                <w:rFonts w:hint="eastAsia" w:ascii="宋体" w:hAnsi="宋体" w:cs="宋体"/>
                <w:color w:val="auto"/>
                <w:kern w:val="0"/>
                <w:szCs w:val="21"/>
                <w:highlight w:val="none"/>
              </w:rPr>
              <w:t>分；</w:t>
            </w:r>
          </w:p>
          <w:p>
            <w:pPr>
              <w:jc w:val="left"/>
              <w:rPr>
                <w:rFonts w:hint="eastAsia" w:ascii="宋体" w:hAnsi="宋体" w:eastAsia="宋体" w:cs="宋体"/>
                <w:szCs w:val="21"/>
                <w:lang w:val="en-US" w:eastAsia="zh-CN"/>
              </w:rPr>
            </w:pPr>
            <w:r>
              <w:rPr>
                <w:rFonts w:hint="eastAsia" w:ascii="宋体" w:hAnsi="宋体" w:cs="宋体"/>
                <w:color w:val="auto"/>
                <w:kern w:val="0"/>
                <w:szCs w:val="21"/>
                <w:highlight w:val="none"/>
              </w:rPr>
              <w:t>4.没有提供方案</w:t>
            </w:r>
            <w:r>
              <w:rPr>
                <w:rFonts w:hint="eastAsia" w:ascii="宋体" w:hAnsi="宋体" w:cs="宋体"/>
                <w:color w:val="auto"/>
                <w:kern w:val="0"/>
                <w:szCs w:val="21"/>
                <w:highlight w:val="none"/>
                <w:lang w:val="en-US" w:eastAsia="zh-CN"/>
              </w:rPr>
              <w:t>的，不得分</w:t>
            </w:r>
            <w:r>
              <w:rPr>
                <w:rFonts w:hint="eastAsia" w:ascii="宋体" w:hAnsi="宋体" w:cs="宋体"/>
                <w:color w:val="auto"/>
                <w:kern w:val="0"/>
                <w:szCs w:val="21"/>
                <w:highlight w:val="none"/>
                <w:lang w:eastAsia="zh-CN"/>
              </w:rPr>
              <w:t>。</w:t>
            </w:r>
          </w:p>
        </w:tc>
        <w:tc>
          <w:tcPr>
            <w:tcW w:w="98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4"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4"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851" w:type="dxa"/>
            <w:tcBorders>
              <w:top w:val="single" w:color="auto" w:sz="6" w:space="0"/>
              <w:left w:val="double" w:color="auto" w:sz="2" w:space="0"/>
              <w:right w:val="single" w:color="auto" w:sz="6" w:space="0"/>
            </w:tcBorders>
            <w:vAlign w:val="center"/>
          </w:tcPr>
          <w:p>
            <w:pPr>
              <w:numPr>
                <w:ilvl w:val="0"/>
                <w:numId w:val="11"/>
              </w:numPr>
              <w:snapToGrid w:val="0"/>
              <w:ind w:left="0" w:leftChars="0" w:firstLine="0" w:firstLineChars="0"/>
              <w:jc w:val="center"/>
              <w:rPr>
                <w:rFonts w:hint="default" w:ascii="宋体" w:hAnsi="宋体" w:cs="宋体"/>
                <w:szCs w:val="21"/>
                <w:lang w:val="en-US"/>
              </w:rPr>
            </w:pPr>
          </w:p>
        </w:tc>
        <w:tc>
          <w:tcPr>
            <w:tcW w:w="771" w:type="dxa"/>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项目实施</w:t>
            </w:r>
          </w:p>
        </w:tc>
        <w:tc>
          <w:tcPr>
            <w:tcW w:w="705" w:type="dxa"/>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lang w:val="en-US" w:eastAsia="zh-CN"/>
              </w:rPr>
            </w:pPr>
            <w:r>
              <w:rPr>
                <w:rFonts w:hint="eastAsia" w:ascii="宋体" w:hAnsi="宋体" w:cs="宋体"/>
                <w:szCs w:val="21"/>
                <w:lang w:val="en-US" w:eastAsia="zh-CN"/>
              </w:rPr>
              <w:t>5</w:t>
            </w:r>
          </w:p>
        </w:tc>
        <w:tc>
          <w:tcPr>
            <w:tcW w:w="4612" w:type="dxa"/>
            <w:tcBorders>
              <w:top w:val="single" w:color="auto" w:sz="6" w:space="0"/>
              <w:left w:val="single" w:color="auto" w:sz="6" w:space="0"/>
              <w:bottom w:val="single" w:color="auto" w:sz="4" w:space="0"/>
              <w:right w:val="single" w:color="auto" w:sz="6" w:space="0"/>
            </w:tcBorders>
            <w:vAlign w:val="center"/>
          </w:tcPr>
          <w:p>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需针对本项目提供可执行的实施方案，并拥有专业的技术实施团队，提供详细的实施人员安排表。系统实施方案合理性、可操作性及执行效率分档计分：优的得5分、良的得3分、一般的得1分、差和不提供方案的不得分。</w:t>
            </w:r>
          </w:p>
        </w:tc>
        <w:tc>
          <w:tcPr>
            <w:tcW w:w="98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4"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4"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57" w:hRule="atLeast"/>
          <w:jc w:val="center"/>
        </w:trPr>
        <w:tc>
          <w:tcPr>
            <w:tcW w:w="851" w:type="dxa"/>
            <w:tcBorders>
              <w:top w:val="single" w:color="auto" w:sz="6" w:space="0"/>
              <w:left w:val="double" w:color="auto" w:sz="2" w:space="0"/>
              <w:right w:val="single" w:color="auto" w:sz="6" w:space="0"/>
            </w:tcBorders>
            <w:vAlign w:val="center"/>
          </w:tcPr>
          <w:p>
            <w:pPr>
              <w:numPr>
                <w:ilvl w:val="0"/>
                <w:numId w:val="11"/>
              </w:numPr>
              <w:snapToGrid w:val="0"/>
              <w:jc w:val="center"/>
              <w:rPr>
                <w:rFonts w:hint="default" w:ascii="宋体" w:hAnsi="宋体" w:cs="宋体"/>
                <w:szCs w:val="21"/>
                <w:lang w:val="en-US"/>
              </w:rPr>
            </w:pPr>
          </w:p>
        </w:tc>
        <w:tc>
          <w:tcPr>
            <w:tcW w:w="771"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系统样例</w:t>
            </w:r>
          </w:p>
        </w:tc>
        <w:tc>
          <w:tcPr>
            <w:tcW w:w="705"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4612" w:type="dxa"/>
            <w:tcBorders>
              <w:top w:val="single" w:color="auto" w:sz="6" w:space="0"/>
              <w:left w:val="single" w:color="auto" w:sz="6" w:space="0"/>
              <w:bottom w:val="single" w:color="auto" w:sz="4" w:space="0"/>
              <w:right w:val="single" w:color="auto" w:sz="6" w:space="0"/>
            </w:tcBorders>
            <w:vAlign w:val="center"/>
          </w:tcPr>
          <w:p>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提供售票系统的售票管理后台、移动乘客端和移动司机端的三个模块功能应用的样例截图，每提供一个得2分，最高得6分，不提供的不得分。注：1.样例截图需符合三个模块的相关主体功能要求。</w:t>
            </w:r>
          </w:p>
          <w:p>
            <w:pPr>
              <w:jc w:val="left"/>
              <w:rPr>
                <w:rFonts w:hint="default"/>
                <w:lang w:val="en-US" w:eastAsia="zh-CN"/>
              </w:rPr>
            </w:pPr>
            <w:r>
              <w:rPr>
                <w:rFonts w:hint="eastAsia" w:ascii="宋体" w:hAnsi="宋体" w:cs="宋体"/>
                <w:color w:val="auto"/>
                <w:kern w:val="0"/>
                <w:szCs w:val="21"/>
                <w:highlight w:val="none"/>
                <w:lang w:val="en-US" w:eastAsia="zh-CN"/>
              </w:rPr>
              <w:t>2.为辨别真实性，系统样例截图（模块页或主页）中需可以体现供应商的名称、商标、品牌等为供应商自有系统的证明</w:t>
            </w:r>
            <w:r>
              <w:rPr>
                <w:rFonts w:hint="eastAsia"/>
                <w:lang w:eastAsia="zh-CN"/>
              </w:rPr>
              <w:t>，</w:t>
            </w:r>
            <w:r>
              <w:rPr>
                <w:rFonts w:hint="eastAsia"/>
                <w:lang w:val="en-US" w:eastAsia="zh-CN"/>
              </w:rPr>
              <w:t>否则不得分</w:t>
            </w:r>
            <w:r>
              <w:rPr>
                <w:rFonts w:hint="eastAsia" w:ascii="宋体" w:hAnsi="宋体" w:cs="宋体"/>
                <w:color w:val="auto"/>
                <w:kern w:val="0"/>
                <w:szCs w:val="21"/>
                <w:highlight w:val="none"/>
                <w:lang w:val="en-US" w:eastAsia="zh-CN"/>
              </w:rPr>
              <w:t>。</w:t>
            </w:r>
          </w:p>
        </w:tc>
        <w:tc>
          <w:tcPr>
            <w:tcW w:w="98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4"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4"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851" w:type="dxa"/>
            <w:tcBorders>
              <w:top w:val="single" w:color="auto" w:sz="6" w:space="0"/>
              <w:left w:val="double" w:color="auto" w:sz="2" w:space="0"/>
              <w:right w:val="single" w:color="auto" w:sz="6" w:space="0"/>
            </w:tcBorders>
            <w:vAlign w:val="center"/>
          </w:tcPr>
          <w:p>
            <w:pPr>
              <w:numPr>
                <w:ilvl w:val="0"/>
                <w:numId w:val="11"/>
              </w:numPr>
              <w:snapToGrid w:val="0"/>
              <w:jc w:val="center"/>
              <w:rPr>
                <w:rFonts w:hint="default" w:ascii="宋体" w:hAnsi="宋体" w:cs="宋体"/>
                <w:szCs w:val="21"/>
                <w:lang w:val="en-US"/>
              </w:rPr>
            </w:pPr>
          </w:p>
        </w:tc>
        <w:tc>
          <w:tcPr>
            <w:tcW w:w="771"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default" w:ascii="宋体" w:hAnsi="宋体" w:cs="宋体"/>
                <w:szCs w:val="21"/>
                <w:lang w:val="en-US" w:eastAsia="zh-CN"/>
              </w:rPr>
              <w:t>业绩</w:t>
            </w:r>
            <w:r>
              <w:rPr>
                <w:rFonts w:hint="eastAsia" w:ascii="宋体" w:hAnsi="宋体" w:cs="宋体"/>
                <w:szCs w:val="21"/>
                <w:lang w:val="en-US" w:eastAsia="zh-CN"/>
              </w:rPr>
              <w:t>经验</w:t>
            </w:r>
          </w:p>
        </w:tc>
        <w:tc>
          <w:tcPr>
            <w:tcW w:w="705"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18</w:t>
            </w:r>
          </w:p>
        </w:tc>
        <w:tc>
          <w:tcPr>
            <w:tcW w:w="4612" w:type="dxa"/>
            <w:tcBorders>
              <w:top w:val="single" w:color="auto" w:sz="6" w:space="0"/>
              <w:left w:val="single" w:color="auto" w:sz="6" w:space="0"/>
              <w:bottom w:val="single" w:color="auto" w:sz="4" w:space="0"/>
              <w:right w:val="single" w:color="auto" w:sz="6" w:space="0"/>
            </w:tcBorders>
            <w:vAlign w:val="center"/>
          </w:tcPr>
          <w:p>
            <w:pPr>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供应商自2021年以来（以合同签订时间为准）承接过道路客运/公交信息化或道路客运/公交售票系统相关项目业绩，每提供一份合同得3分，本项最高得18分。</w:t>
            </w:r>
          </w:p>
          <w:p>
            <w:pPr>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注：</w:t>
            </w:r>
            <w:r>
              <w:rPr>
                <w:rFonts w:hint="eastAsia" w:ascii="宋体" w:hAnsi="宋体" w:cs="宋体"/>
                <w:color w:val="auto"/>
                <w:kern w:val="0"/>
                <w:szCs w:val="21"/>
                <w:highlight w:val="none"/>
                <w:lang w:val="en-US" w:eastAsia="zh-CN"/>
              </w:rPr>
              <w:t>需</w:t>
            </w:r>
            <w:r>
              <w:rPr>
                <w:rFonts w:hint="default" w:ascii="宋体" w:hAnsi="宋体" w:cs="宋体"/>
                <w:color w:val="auto"/>
                <w:kern w:val="0"/>
                <w:szCs w:val="21"/>
                <w:highlight w:val="none"/>
                <w:lang w:val="en-US" w:eastAsia="zh-CN"/>
              </w:rPr>
              <w:t>提供合同（同时包括签约时间</w:t>
            </w:r>
            <w:r>
              <w:rPr>
                <w:rFonts w:hint="eastAsia" w:ascii="宋体" w:hAnsi="宋体" w:cs="宋体"/>
                <w:color w:val="auto"/>
                <w:kern w:val="0"/>
                <w:szCs w:val="21"/>
                <w:highlight w:val="none"/>
                <w:lang w:val="en-US" w:eastAsia="zh-CN"/>
              </w:rPr>
              <w:t>页</w:t>
            </w:r>
            <w:r>
              <w:rPr>
                <w:rFonts w:hint="default" w:ascii="宋体" w:hAnsi="宋体" w:cs="宋体"/>
                <w:color w:val="auto"/>
                <w:kern w:val="0"/>
                <w:szCs w:val="21"/>
                <w:highlight w:val="none"/>
                <w:lang w:val="en-US" w:eastAsia="zh-CN"/>
              </w:rPr>
              <w:t>、项目名称</w:t>
            </w:r>
            <w:r>
              <w:rPr>
                <w:rFonts w:hint="eastAsia" w:ascii="宋体" w:hAnsi="宋体" w:cs="宋体"/>
                <w:color w:val="auto"/>
                <w:kern w:val="0"/>
                <w:szCs w:val="21"/>
                <w:highlight w:val="none"/>
                <w:lang w:val="en-US" w:eastAsia="zh-CN"/>
              </w:rPr>
              <w:t>页</w:t>
            </w:r>
            <w:r>
              <w:rPr>
                <w:rFonts w:hint="default" w:ascii="宋体" w:hAnsi="宋体" w:cs="宋体"/>
                <w:color w:val="auto"/>
                <w:kern w:val="0"/>
                <w:szCs w:val="21"/>
                <w:highlight w:val="none"/>
                <w:lang w:val="en-US" w:eastAsia="zh-CN"/>
              </w:rPr>
              <w:t>、金额</w:t>
            </w:r>
            <w:r>
              <w:rPr>
                <w:rFonts w:hint="eastAsia" w:ascii="宋体" w:hAnsi="宋体" w:cs="宋体"/>
                <w:color w:val="auto"/>
                <w:kern w:val="0"/>
                <w:szCs w:val="21"/>
                <w:highlight w:val="none"/>
                <w:lang w:val="en-US" w:eastAsia="zh-CN"/>
              </w:rPr>
              <w:t>页</w:t>
            </w:r>
            <w:r>
              <w:rPr>
                <w:rFonts w:hint="default" w:ascii="宋体" w:hAnsi="宋体" w:cs="宋体"/>
                <w:color w:val="auto"/>
                <w:kern w:val="0"/>
                <w:szCs w:val="21"/>
                <w:highlight w:val="none"/>
                <w:lang w:val="en-US" w:eastAsia="zh-CN"/>
              </w:rPr>
              <w:t>、双方盖章</w:t>
            </w:r>
            <w:r>
              <w:rPr>
                <w:rFonts w:hint="eastAsia" w:ascii="宋体" w:hAnsi="宋体" w:cs="宋体"/>
                <w:color w:val="auto"/>
                <w:kern w:val="0"/>
                <w:szCs w:val="21"/>
                <w:highlight w:val="none"/>
                <w:lang w:val="en-US" w:eastAsia="zh-CN"/>
              </w:rPr>
              <w:t>页</w:t>
            </w:r>
            <w:r>
              <w:rPr>
                <w:rFonts w:hint="default" w:ascii="宋体" w:hAnsi="宋体" w:cs="宋体"/>
                <w:color w:val="auto"/>
                <w:kern w:val="0"/>
                <w:szCs w:val="21"/>
                <w:highlight w:val="none"/>
                <w:lang w:val="en-US" w:eastAsia="zh-CN"/>
              </w:rPr>
              <w:t>）复印件。</w:t>
            </w:r>
          </w:p>
        </w:tc>
        <w:tc>
          <w:tcPr>
            <w:tcW w:w="98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4"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4"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851" w:type="dxa"/>
            <w:tcBorders>
              <w:top w:val="single" w:color="auto" w:sz="6" w:space="0"/>
              <w:left w:val="double" w:color="auto" w:sz="2" w:space="0"/>
              <w:right w:val="single" w:color="auto" w:sz="6" w:space="0"/>
            </w:tcBorders>
            <w:vAlign w:val="center"/>
          </w:tcPr>
          <w:p>
            <w:pPr>
              <w:numPr>
                <w:ilvl w:val="0"/>
                <w:numId w:val="11"/>
              </w:numPr>
              <w:snapToGrid w:val="0"/>
              <w:jc w:val="center"/>
              <w:rPr>
                <w:rFonts w:hint="default" w:ascii="宋体" w:hAnsi="宋体" w:cs="宋体"/>
                <w:szCs w:val="21"/>
                <w:lang w:val="en-US"/>
              </w:rPr>
            </w:pPr>
          </w:p>
        </w:tc>
        <w:tc>
          <w:tcPr>
            <w:tcW w:w="771"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企业资格</w:t>
            </w:r>
          </w:p>
        </w:tc>
        <w:tc>
          <w:tcPr>
            <w:tcW w:w="705" w:type="dxa"/>
            <w:tcBorders>
              <w:top w:val="single" w:color="auto" w:sz="6" w:space="0"/>
              <w:left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3</w:t>
            </w:r>
          </w:p>
        </w:tc>
        <w:tc>
          <w:tcPr>
            <w:tcW w:w="4612" w:type="dxa"/>
            <w:tcBorders>
              <w:top w:val="single" w:color="auto" w:sz="6" w:space="0"/>
              <w:left w:val="single" w:color="auto" w:sz="6" w:space="0"/>
              <w:bottom w:val="single" w:color="auto" w:sz="4" w:space="0"/>
              <w:right w:val="single" w:color="auto" w:sz="6" w:space="0"/>
            </w:tcBorders>
            <w:vAlign w:val="center"/>
          </w:tcPr>
          <w:p>
            <w:pPr>
              <w:jc w:val="left"/>
              <w:rPr>
                <w:rFonts w:hint="default" w:ascii="宋体" w:hAnsi="宋体" w:cs="宋体"/>
                <w:color w:val="auto"/>
                <w:kern w:val="0"/>
                <w:szCs w:val="21"/>
                <w:highlight w:val="none"/>
                <w:lang w:val="en-US" w:eastAsia="zh-CN"/>
              </w:rPr>
            </w:pPr>
            <w:r>
              <w:rPr>
                <w:rFonts w:hint="default" w:ascii="宋体" w:hAnsi="宋体" w:cs="宋体"/>
                <w:color w:val="auto"/>
                <w:kern w:val="0"/>
                <w:szCs w:val="21"/>
                <w:highlight w:val="none"/>
                <w:lang w:val="en-US" w:eastAsia="zh-CN"/>
              </w:rPr>
              <w:t>供应商具有高新技术企业认证得3分，不提供</w:t>
            </w:r>
            <w:r>
              <w:rPr>
                <w:rFonts w:hint="eastAsia" w:ascii="宋体" w:hAnsi="宋体" w:cs="宋体"/>
                <w:color w:val="auto"/>
                <w:kern w:val="0"/>
                <w:szCs w:val="21"/>
                <w:highlight w:val="none"/>
                <w:lang w:val="en-US" w:eastAsia="zh-CN"/>
              </w:rPr>
              <w:t>的</w:t>
            </w:r>
            <w:r>
              <w:rPr>
                <w:rFonts w:hint="default" w:ascii="宋体" w:hAnsi="宋体" w:cs="宋体"/>
                <w:color w:val="auto"/>
                <w:kern w:val="0"/>
                <w:szCs w:val="21"/>
                <w:highlight w:val="none"/>
                <w:lang w:val="en-US" w:eastAsia="zh-CN"/>
              </w:rPr>
              <w:t>得0分，需提供供应商的证明材料复印件并加盖投标人公章。</w:t>
            </w:r>
          </w:p>
        </w:tc>
        <w:tc>
          <w:tcPr>
            <w:tcW w:w="983"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987" w:type="dxa"/>
            <w:tcBorders>
              <w:top w:val="single" w:color="auto" w:sz="6" w:space="0"/>
              <w:left w:val="single" w:color="auto" w:sz="6" w:space="0"/>
              <w:bottom w:val="single" w:color="auto" w:sz="4" w:space="0"/>
              <w:right w:val="single" w:color="auto" w:sz="6" w:space="0"/>
            </w:tcBorders>
            <w:vAlign w:val="center"/>
          </w:tcPr>
          <w:p>
            <w:pPr>
              <w:snapToGrid w:val="0"/>
              <w:jc w:val="center"/>
              <w:rPr>
                <w:rFonts w:ascii="宋体" w:hAnsi="宋体" w:cs="宋体"/>
                <w:szCs w:val="21"/>
              </w:rPr>
            </w:pPr>
          </w:p>
        </w:tc>
        <w:tc>
          <w:tcPr>
            <w:tcW w:w="1075" w:type="dxa"/>
            <w:tcBorders>
              <w:top w:val="single" w:color="auto" w:sz="6" w:space="0"/>
              <w:left w:val="single" w:color="auto" w:sz="6" w:space="0"/>
              <w:bottom w:val="single" w:color="auto" w:sz="4" w:space="0"/>
              <w:right w:val="single" w:color="auto" w:sz="4" w:space="0"/>
            </w:tcBorders>
            <w:vAlign w:val="center"/>
          </w:tcPr>
          <w:p>
            <w:pPr>
              <w:snapToGrid w:val="0"/>
              <w:jc w:val="center"/>
              <w:rPr>
                <w:rFonts w:ascii="宋体" w:hAnsi="宋体" w:cs="宋体"/>
                <w:szCs w:val="21"/>
              </w:rPr>
            </w:pPr>
          </w:p>
        </w:tc>
        <w:tc>
          <w:tcPr>
            <w:tcW w:w="963" w:type="dxa"/>
            <w:tcBorders>
              <w:top w:val="single" w:color="auto" w:sz="6" w:space="0"/>
              <w:left w:val="nil"/>
              <w:bottom w:val="single" w:color="auto" w:sz="4"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58" w:hRule="atLeast"/>
          <w:jc w:val="center"/>
        </w:trPr>
        <w:tc>
          <w:tcPr>
            <w:tcW w:w="851" w:type="dxa"/>
            <w:tcBorders>
              <w:top w:val="single" w:color="auto" w:sz="4" w:space="0"/>
              <w:left w:val="double" w:color="auto" w:sz="2" w:space="0"/>
              <w:bottom w:val="single" w:color="auto" w:sz="6" w:space="0"/>
              <w:right w:val="single" w:color="auto" w:sz="6" w:space="0"/>
            </w:tcBorders>
            <w:vAlign w:val="center"/>
          </w:tcPr>
          <w:p>
            <w:pPr>
              <w:numPr>
                <w:ilvl w:val="0"/>
                <w:numId w:val="11"/>
              </w:numPr>
              <w:snapToGrid w:val="0"/>
              <w:jc w:val="center"/>
              <w:rPr>
                <w:rFonts w:ascii="宋体" w:hAnsi="宋体" w:cs="宋体"/>
                <w:szCs w:val="21"/>
              </w:rPr>
            </w:pPr>
          </w:p>
        </w:tc>
        <w:tc>
          <w:tcPr>
            <w:tcW w:w="771"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软件实力</w:t>
            </w:r>
          </w:p>
        </w:tc>
        <w:tc>
          <w:tcPr>
            <w:tcW w:w="705"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4612" w:type="dxa"/>
            <w:tcBorders>
              <w:top w:val="single" w:color="auto" w:sz="4" w:space="0"/>
              <w:left w:val="single" w:color="auto" w:sz="6" w:space="0"/>
              <w:bottom w:val="single" w:color="auto" w:sz="6" w:space="0"/>
              <w:right w:val="single" w:color="auto" w:sz="6" w:space="0"/>
            </w:tcBorders>
            <w:vAlign w:val="center"/>
          </w:tcPr>
          <w:p>
            <w:pPr>
              <w:jc w:val="left"/>
              <w:rPr>
                <w:rFonts w:hint="eastAsia" w:ascii="宋体" w:hAnsi="宋体" w:cs="宋体"/>
                <w:szCs w:val="21"/>
              </w:rPr>
            </w:pPr>
            <w:r>
              <w:rPr>
                <w:rFonts w:hint="default" w:ascii="宋体" w:hAnsi="宋体" w:cs="宋体"/>
                <w:color w:val="auto"/>
                <w:kern w:val="0"/>
                <w:szCs w:val="21"/>
                <w:highlight w:val="none"/>
                <w:lang w:val="en-US" w:eastAsia="zh-CN"/>
              </w:rPr>
              <w:t>供应商</w:t>
            </w:r>
            <w:r>
              <w:rPr>
                <w:rFonts w:hint="eastAsia" w:ascii="宋体" w:hAnsi="宋体" w:cs="宋体"/>
                <w:szCs w:val="21"/>
              </w:rPr>
              <w:t>具有道路客运/公交信息化相关的著作权证书，每提供一项得1分，本项最多得5分，不提供</w:t>
            </w:r>
            <w:r>
              <w:rPr>
                <w:rFonts w:hint="eastAsia" w:ascii="宋体" w:hAnsi="宋体" w:cs="宋体"/>
                <w:szCs w:val="21"/>
                <w:lang w:val="en-US" w:eastAsia="zh-CN"/>
              </w:rPr>
              <w:t>的不得</w:t>
            </w:r>
            <w:r>
              <w:rPr>
                <w:rFonts w:hint="eastAsia" w:ascii="宋体" w:hAnsi="宋体" w:cs="宋体"/>
                <w:szCs w:val="21"/>
              </w:rPr>
              <w:t>分，需提供</w:t>
            </w:r>
            <w:r>
              <w:rPr>
                <w:rFonts w:hint="eastAsia" w:ascii="宋体" w:hAnsi="宋体" w:cs="宋体"/>
                <w:color w:val="auto"/>
                <w:kern w:val="0"/>
                <w:szCs w:val="21"/>
                <w:highlight w:val="none"/>
                <w:lang w:val="en-US" w:eastAsia="zh-CN"/>
              </w:rPr>
              <w:t>证书</w:t>
            </w:r>
            <w:r>
              <w:rPr>
                <w:rFonts w:hint="eastAsia" w:ascii="宋体" w:hAnsi="宋体" w:cs="宋体"/>
                <w:szCs w:val="21"/>
              </w:rPr>
              <w:t>复印件并加盖</w:t>
            </w:r>
            <w:r>
              <w:rPr>
                <w:rFonts w:hint="default" w:ascii="宋体" w:hAnsi="宋体" w:cs="宋体"/>
                <w:color w:val="auto"/>
                <w:kern w:val="0"/>
                <w:szCs w:val="21"/>
                <w:highlight w:val="none"/>
                <w:lang w:val="en-US" w:eastAsia="zh-CN"/>
              </w:rPr>
              <w:t>供应商</w:t>
            </w:r>
            <w:r>
              <w:rPr>
                <w:rFonts w:hint="eastAsia" w:ascii="宋体" w:hAnsi="宋体" w:cs="宋体"/>
                <w:szCs w:val="21"/>
              </w:rPr>
              <w:t>公章。</w:t>
            </w:r>
          </w:p>
        </w:tc>
        <w:tc>
          <w:tcPr>
            <w:tcW w:w="983"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4"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4"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738" w:hRule="atLeast"/>
          <w:jc w:val="center"/>
        </w:trPr>
        <w:tc>
          <w:tcPr>
            <w:tcW w:w="851" w:type="dxa"/>
            <w:tcBorders>
              <w:top w:val="single" w:color="auto" w:sz="4" w:space="0"/>
              <w:left w:val="double" w:color="auto" w:sz="2" w:space="0"/>
              <w:bottom w:val="single" w:color="auto" w:sz="6" w:space="0"/>
              <w:right w:val="single" w:color="auto" w:sz="6" w:space="0"/>
            </w:tcBorders>
            <w:vAlign w:val="center"/>
          </w:tcPr>
          <w:p>
            <w:pPr>
              <w:numPr>
                <w:ilvl w:val="0"/>
                <w:numId w:val="11"/>
              </w:numPr>
              <w:snapToGrid w:val="0"/>
              <w:jc w:val="center"/>
              <w:rPr>
                <w:rFonts w:ascii="宋体" w:hAnsi="宋体" w:cs="宋体"/>
                <w:szCs w:val="21"/>
              </w:rPr>
            </w:pPr>
          </w:p>
        </w:tc>
        <w:tc>
          <w:tcPr>
            <w:tcW w:w="771"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项目团队能力</w:t>
            </w:r>
          </w:p>
        </w:tc>
        <w:tc>
          <w:tcPr>
            <w:tcW w:w="705"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default" w:ascii="宋体" w:hAnsi="宋体" w:cs="宋体"/>
                <w:szCs w:val="21"/>
                <w:lang w:val="en-US" w:eastAsia="zh-CN"/>
              </w:rPr>
            </w:pPr>
            <w:r>
              <w:rPr>
                <w:rFonts w:hint="eastAsia" w:ascii="宋体" w:hAnsi="宋体" w:cs="宋体"/>
                <w:szCs w:val="21"/>
                <w:lang w:val="en-US" w:eastAsia="zh-CN"/>
              </w:rPr>
              <w:t>8</w:t>
            </w:r>
          </w:p>
        </w:tc>
        <w:tc>
          <w:tcPr>
            <w:tcW w:w="4612" w:type="dxa"/>
            <w:tcBorders>
              <w:top w:val="single" w:color="auto" w:sz="4" w:space="0"/>
              <w:left w:val="single" w:color="auto" w:sz="6" w:space="0"/>
              <w:bottom w:val="single" w:color="auto" w:sz="6" w:space="0"/>
              <w:right w:val="single" w:color="auto" w:sz="6" w:space="0"/>
            </w:tcBorders>
            <w:vAlign w:val="center"/>
          </w:tcPr>
          <w:p>
            <w:pPr>
              <w:jc w:val="left"/>
              <w:rPr>
                <w:rFonts w:hint="eastAsia" w:ascii="宋体" w:hAnsi="宋体" w:cs="宋体"/>
                <w:szCs w:val="21"/>
              </w:rPr>
            </w:pPr>
            <w:r>
              <w:rPr>
                <w:rFonts w:hint="eastAsia" w:ascii="宋体" w:hAnsi="宋体" w:cs="宋体"/>
                <w:szCs w:val="21"/>
              </w:rPr>
              <w:t>项目负责人：具有信息系统项目管理高级证书</w:t>
            </w:r>
            <w:r>
              <w:rPr>
                <w:rFonts w:hint="eastAsia" w:ascii="宋体" w:hAnsi="宋体" w:cs="宋体"/>
                <w:color w:val="auto"/>
                <w:szCs w:val="21"/>
                <w:highlight w:val="none"/>
              </w:rPr>
              <w:t>或信息技术类高级工程师</w:t>
            </w:r>
            <w:r>
              <w:rPr>
                <w:rFonts w:hint="eastAsia" w:ascii="宋体" w:hAnsi="宋体" w:cs="宋体"/>
                <w:color w:val="auto"/>
                <w:szCs w:val="21"/>
                <w:highlight w:val="none"/>
                <w:lang w:val="en-US" w:eastAsia="zh-CN"/>
              </w:rPr>
              <w:t>的</w:t>
            </w:r>
            <w:r>
              <w:rPr>
                <w:rFonts w:hint="eastAsia" w:ascii="宋体" w:hAnsi="宋体" w:cs="宋体"/>
                <w:szCs w:val="21"/>
              </w:rPr>
              <w:t>，得5分；具有中级证书</w:t>
            </w:r>
            <w:r>
              <w:rPr>
                <w:rFonts w:hint="eastAsia" w:ascii="宋体" w:hAnsi="宋体" w:cs="宋体"/>
                <w:szCs w:val="21"/>
                <w:lang w:val="en-US" w:eastAsia="zh-CN"/>
              </w:rPr>
              <w:t>的</w:t>
            </w:r>
            <w:r>
              <w:rPr>
                <w:rFonts w:hint="eastAsia" w:ascii="宋体" w:hAnsi="宋体" w:cs="宋体"/>
                <w:szCs w:val="21"/>
              </w:rPr>
              <w:t>，得2分；未提供</w:t>
            </w:r>
            <w:r>
              <w:rPr>
                <w:rFonts w:hint="eastAsia" w:ascii="宋体" w:hAnsi="宋体" w:cs="宋体"/>
                <w:szCs w:val="21"/>
                <w:lang w:eastAsia="zh-CN"/>
              </w:rPr>
              <w:t>的</w:t>
            </w:r>
            <w:r>
              <w:rPr>
                <w:rFonts w:hint="eastAsia" w:ascii="宋体" w:hAnsi="宋体" w:cs="宋体"/>
                <w:szCs w:val="21"/>
              </w:rPr>
              <w:t>得0分。本项最高得5分。</w:t>
            </w:r>
          </w:p>
          <w:p>
            <w:pPr>
              <w:jc w:val="left"/>
              <w:rPr>
                <w:rFonts w:hint="eastAsia" w:ascii="宋体" w:hAnsi="宋体" w:cs="宋体"/>
                <w:szCs w:val="21"/>
              </w:rPr>
            </w:pPr>
            <w:r>
              <w:rPr>
                <w:rFonts w:hint="eastAsia" w:ascii="宋体" w:hAnsi="宋体" w:cs="宋体"/>
                <w:szCs w:val="21"/>
              </w:rPr>
              <w:t>项目成员：团队成员中具有信息系统项目管理/软件开发/PMP认证等中级及以上资格证书其中一项的，每人</w:t>
            </w:r>
            <w:r>
              <w:rPr>
                <w:rFonts w:hint="eastAsia" w:ascii="宋体" w:hAnsi="宋体" w:cs="宋体"/>
                <w:szCs w:val="21"/>
                <w:lang w:val="en-US" w:eastAsia="zh-CN"/>
              </w:rPr>
              <w:t>得</w:t>
            </w:r>
            <w:r>
              <w:rPr>
                <w:rFonts w:hint="eastAsia" w:ascii="宋体" w:hAnsi="宋体" w:cs="宋体"/>
                <w:szCs w:val="21"/>
              </w:rPr>
              <w:t>1.5分，最高</w:t>
            </w:r>
            <w:r>
              <w:rPr>
                <w:rFonts w:hint="eastAsia" w:ascii="宋体" w:hAnsi="宋体" w:cs="宋体"/>
                <w:szCs w:val="21"/>
                <w:lang w:val="en-US" w:eastAsia="zh-CN"/>
              </w:rPr>
              <w:t>得</w:t>
            </w:r>
            <w:r>
              <w:rPr>
                <w:rFonts w:hint="eastAsia" w:ascii="宋体" w:hAnsi="宋体" w:cs="宋体"/>
                <w:szCs w:val="21"/>
              </w:rPr>
              <w:t>3分。</w:t>
            </w:r>
          </w:p>
          <w:p>
            <w:pPr>
              <w:jc w:val="left"/>
              <w:rPr>
                <w:rFonts w:hint="eastAsia" w:ascii="宋体" w:hAnsi="宋体" w:cs="宋体"/>
                <w:szCs w:val="21"/>
              </w:rPr>
            </w:pPr>
            <w:r>
              <w:rPr>
                <w:rFonts w:hint="eastAsia" w:ascii="宋体" w:hAnsi="宋体" w:cs="宋体"/>
                <w:szCs w:val="21"/>
                <w:lang w:val="en-US" w:eastAsia="zh-CN"/>
              </w:rPr>
              <w:t>注：</w:t>
            </w:r>
            <w:r>
              <w:rPr>
                <w:rFonts w:hint="eastAsia" w:ascii="宋体" w:hAnsi="宋体" w:cs="宋体"/>
                <w:szCs w:val="21"/>
              </w:rPr>
              <w:t>须提供证书复印件及2023年以来任意一</w:t>
            </w:r>
            <w:r>
              <w:rPr>
                <w:rFonts w:hint="eastAsia" w:ascii="宋体" w:hAnsi="宋体" w:cs="宋体"/>
                <w:szCs w:val="21"/>
                <w:lang w:val="en-US" w:eastAsia="zh-CN"/>
              </w:rPr>
              <w:t>个</w:t>
            </w:r>
            <w:r>
              <w:rPr>
                <w:rFonts w:hint="eastAsia" w:ascii="宋体" w:hAnsi="宋体" w:cs="宋体"/>
                <w:szCs w:val="21"/>
              </w:rPr>
              <w:t>月本单位社保缴交证明。</w:t>
            </w:r>
          </w:p>
        </w:tc>
        <w:tc>
          <w:tcPr>
            <w:tcW w:w="983"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987"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p>
        </w:tc>
        <w:tc>
          <w:tcPr>
            <w:tcW w:w="1075" w:type="dxa"/>
            <w:tcBorders>
              <w:top w:val="single" w:color="auto" w:sz="4" w:space="0"/>
              <w:left w:val="single" w:color="auto" w:sz="6" w:space="0"/>
              <w:bottom w:val="single" w:color="auto" w:sz="6" w:space="0"/>
              <w:right w:val="single" w:color="auto" w:sz="4" w:space="0"/>
            </w:tcBorders>
            <w:vAlign w:val="center"/>
          </w:tcPr>
          <w:p>
            <w:pPr>
              <w:snapToGrid w:val="0"/>
              <w:jc w:val="center"/>
              <w:rPr>
                <w:rFonts w:ascii="宋体" w:hAnsi="宋体" w:cs="宋体"/>
                <w:szCs w:val="21"/>
              </w:rPr>
            </w:pPr>
          </w:p>
        </w:tc>
        <w:tc>
          <w:tcPr>
            <w:tcW w:w="963" w:type="dxa"/>
            <w:tcBorders>
              <w:top w:val="single" w:color="auto" w:sz="4" w:space="0"/>
              <w:left w:val="nil"/>
              <w:bottom w:val="single" w:color="auto" w:sz="6" w:space="0"/>
              <w:right w:val="double" w:color="auto" w:sz="2" w:space="0"/>
            </w:tcBorders>
            <w:vAlign w:val="center"/>
          </w:tcPr>
          <w:p>
            <w:pPr>
              <w:snapToGrid w:val="0"/>
              <w:jc w:val="center"/>
              <w:rPr>
                <w:rFonts w:ascii="宋体" w:hAnsi="宋体" w:cs="宋体"/>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622" w:type="dxa"/>
            <w:gridSpan w:val="2"/>
            <w:tcBorders>
              <w:top w:val="single" w:color="auto" w:sz="6" w:space="0"/>
              <w:left w:val="double" w:color="auto" w:sz="2" w:space="0"/>
              <w:bottom w:val="double" w:color="auto" w:sz="2" w:space="0"/>
              <w:right w:val="single" w:color="auto" w:sz="6"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合计</w:t>
            </w:r>
          </w:p>
        </w:tc>
        <w:tc>
          <w:tcPr>
            <w:tcW w:w="705" w:type="dxa"/>
            <w:tcBorders>
              <w:top w:val="single" w:color="auto" w:sz="6" w:space="0"/>
              <w:left w:val="single" w:color="auto" w:sz="6" w:space="0"/>
              <w:bottom w:val="double" w:color="auto" w:sz="2" w:space="0"/>
              <w:right w:val="single" w:color="auto" w:sz="6"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60</w:t>
            </w:r>
          </w:p>
        </w:tc>
        <w:tc>
          <w:tcPr>
            <w:tcW w:w="4612" w:type="dxa"/>
            <w:tcBorders>
              <w:top w:val="single" w:color="auto" w:sz="6" w:space="0"/>
              <w:left w:val="single" w:color="auto" w:sz="6" w:space="0"/>
              <w:bottom w:val="double" w:color="auto" w:sz="2" w:space="0"/>
              <w:right w:val="single" w:color="auto" w:sz="6"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总计得分</w:t>
            </w:r>
          </w:p>
        </w:tc>
        <w:tc>
          <w:tcPr>
            <w:tcW w:w="983"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eastAsia="宋体" w:cs="宋体"/>
                <w:kern w:val="2"/>
                <w:sz w:val="21"/>
                <w:szCs w:val="21"/>
                <w:lang w:val="en-US" w:eastAsia="zh-CN" w:bidi="ar-SA"/>
              </w:rPr>
            </w:pPr>
          </w:p>
        </w:tc>
        <w:tc>
          <w:tcPr>
            <w:tcW w:w="987" w:type="dxa"/>
            <w:tcBorders>
              <w:top w:val="single" w:color="auto" w:sz="6" w:space="0"/>
              <w:left w:val="single" w:color="auto" w:sz="6" w:space="0"/>
              <w:bottom w:val="double" w:color="auto" w:sz="2" w:space="0"/>
              <w:right w:val="single" w:color="auto" w:sz="6" w:space="0"/>
            </w:tcBorders>
            <w:vAlign w:val="top"/>
          </w:tcPr>
          <w:p>
            <w:pPr>
              <w:snapToGrid w:val="0"/>
              <w:jc w:val="center"/>
              <w:rPr>
                <w:rFonts w:ascii="宋体" w:hAnsi="宋体" w:eastAsia="宋体" w:cs="宋体"/>
                <w:kern w:val="2"/>
                <w:sz w:val="21"/>
                <w:szCs w:val="21"/>
                <w:lang w:val="en-US" w:eastAsia="zh-CN" w:bidi="ar-SA"/>
              </w:rPr>
            </w:pPr>
          </w:p>
        </w:tc>
        <w:tc>
          <w:tcPr>
            <w:tcW w:w="1075" w:type="dxa"/>
            <w:tcBorders>
              <w:top w:val="single" w:color="auto" w:sz="6" w:space="0"/>
              <w:left w:val="single" w:color="auto" w:sz="6" w:space="0"/>
              <w:bottom w:val="double" w:color="auto" w:sz="2" w:space="0"/>
              <w:right w:val="single" w:color="auto" w:sz="4" w:space="0"/>
            </w:tcBorders>
            <w:vAlign w:val="top"/>
          </w:tcPr>
          <w:p>
            <w:pPr>
              <w:snapToGrid w:val="0"/>
              <w:jc w:val="center"/>
              <w:rPr>
                <w:rFonts w:ascii="宋体" w:hAnsi="宋体" w:eastAsia="宋体" w:cs="宋体"/>
                <w:kern w:val="2"/>
                <w:sz w:val="21"/>
                <w:szCs w:val="21"/>
                <w:lang w:val="en-US" w:eastAsia="zh-CN" w:bidi="ar-SA"/>
              </w:rPr>
            </w:pPr>
          </w:p>
        </w:tc>
        <w:tc>
          <w:tcPr>
            <w:tcW w:w="963" w:type="dxa"/>
            <w:tcBorders>
              <w:top w:val="single" w:color="auto" w:sz="6" w:space="0"/>
              <w:left w:val="nil"/>
              <w:bottom w:val="double" w:color="auto" w:sz="2" w:space="0"/>
              <w:right w:val="double" w:color="auto" w:sz="2" w:space="0"/>
            </w:tcBorders>
            <w:vAlign w:val="top"/>
          </w:tcPr>
          <w:p>
            <w:pPr>
              <w:snapToGrid w:val="0"/>
              <w:jc w:val="center"/>
              <w:rPr>
                <w:rFonts w:ascii="宋体" w:hAnsi="宋体" w:eastAsia="宋体" w:cs="宋体"/>
                <w:kern w:val="2"/>
                <w:sz w:val="21"/>
                <w:szCs w:val="21"/>
                <w:lang w:val="en-US" w:eastAsia="zh-CN" w:bidi="ar-SA"/>
              </w:rPr>
            </w:pPr>
          </w:p>
        </w:tc>
      </w:tr>
    </w:tbl>
    <w:p>
      <w:pPr>
        <w:adjustRightInd w:val="0"/>
        <w:snapToGrid w:val="0"/>
        <w:spacing w:line="560" w:lineRule="exact"/>
        <w:rPr>
          <w:rFonts w:ascii="宋体" w:hAnsi="宋体" w:cs="宋体"/>
          <w:bCs/>
          <w:sz w:val="24"/>
        </w:rPr>
      </w:pPr>
      <w:r>
        <w:rPr>
          <w:rFonts w:hint="eastAsia" w:ascii="宋体" w:hAnsi="宋体" w:cs="宋体"/>
          <w:bCs/>
          <w:sz w:val="24"/>
        </w:rPr>
        <w:t>评委签名：                   评审日期：</w:t>
      </w:r>
    </w:p>
    <w:p>
      <w:pPr>
        <w:rPr>
          <w:rFonts w:ascii="宋体" w:hAnsi="宋体" w:cs="宋体"/>
          <w:sz w:val="24"/>
        </w:rPr>
      </w:pPr>
      <w:r>
        <w:rPr>
          <w:rFonts w:hint="eastAsia" w:ascii="宋体" w:hAnsi="宋体" w:cs="宋体"/>
          <w:b/>
          <w:bCs/>
          <w:sz w:val="24"/>
        </w:rPr>
        <w:br w:type="page"/>
      </w:r>
      <w:r>
        <w:rPr>
          <w:rFonts w:hint="eastAsia" w:ascii="宋体" w:hAnsi="宋体" w:cs="宋体"/>
          <w:b/>
          <w:bCs/>
          <w:sz w:val="24"/>
        </w:rPr>
        <w:t xml:space="preserve">    </w:t>
      </w:r>
      <w:r>
        <w:rPr>
          <w:rFonts w:hint="eastAsia" w:ascii="宋体" w:hAnsi="宋体" w:cs="宋体"/>
          <w:sz w:val="24"/>
        </w:rPr>
        <w:t>九、技术商务评分汇总表</w:t>
      </w:r>
    </w:p>
    <w:p>
      <w:pPr>
        <w:pStyle w:val="44"/>
        <w:spacing w:line="240" w:lineRule="auto"/>
      </w:pPr>
    </w:p>
    <w:p>
      <w:pPr>
        <w:jc w:val="center"/>
        <w:rPr>
          <w:rFonts w:ascii="宋体" w:hAnsi="宋体" w:cs="宋体"/>
          <w:sz w:val="24"/>
        </w:rPr>
      </w:pPr>
      <w:r>
        <w:rPr>
          <w:rFonts w:hint="eastAsia" w:ascii="宋体" w:hAnsi="宋体" w:cs="宋体"/>
          <w:b/>
          <w:bCs/>
          <w:sz w:val="44"/>
          <w:szCs w:val="44"/>
        </w:rPr>
        <w:t>技术商务评分汇总表</w:t>
      </w:r>
    </w:p>
    <w:p>
      <w:pPr>
        <w:rPr>
          <w:rFonts w:ascii="宋体" w:hAnsi="宋体" w:cs="宋体"/>
          <w:sz w:val="24"/>
        </w:rPr>
      </w:pPr>
    </w:p>
    <w:tbl>
      <w:tblPr>
        <w:tblStyle w:val="33"/>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2489"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282" w:type="dxa"/>
            <w:vAlign w:val="center"/>
          </w:tcPr>
          <w:p>
            <w:pPr>
              <w:jc w:val="center"/>
              <w:rPr>
                <w:rFonts w:ascii="宋体" w:hAnsi="宋体" w:cs="宋体"/>
                <w:sz w:val="24"/>
              </w:rPr>
            </w:pPr>
            <w:r>
              <w:rPr>
                <w:rFonts w:hint="eastAsia" w:ascii="宋体" w:hAnsi="宋体" w:cs="宋体"/>
                <w:sz w:val="24"/>
              </w:rPr>
              <w:t>评委1评分</w:t>
            </w:r>
          </w:p>
        </w:tc>
        <w:tc>
          <w:tcPr>
            <w:tcW w:w="1227" w:type="dxa"/>
            <w:vAlign w:val="center"/>
          </w:tcPr>
          <w:p>
            <w:pPr>
              <w:jc w:val="center"/>
              <w:rPr>
                <w:rFonts w:ascii="宋体" w:hAnsi="宋体" w:cs="宋体"/>
                <w:sz w:val="24"/>
              </w:rPr>
            </w:pPr>
            <w:r>
              <w:rPr>
                <w:rFonts w:hint="eastAsia" w:ascii="宋体" w:hAnsi="宋体" w:cs="宋体"/>
                <w:sz w:val="24"/>
              </w:rPr>
              <w:t>评委2评分</w:t>
            </w:r>
          </w:p>
        </w:tc>
        <w:tc>
          <w:tcPr>
            <w:tcW w:w="1268" w:type="dxa"/>
            <w:vAlign w:val="center"/>
          </w:tcPr>
          <w:p>
            <w:pPr>
              <w:jc w:val="center"/>
              <w:rPr>
                <w:rFonts w:ascii="宋体" w:hAnsi="宋体" w:cs="宋体"/>
                <w:sz w:val="24"/>
              </w:rPr>
            </w:pPr>
            <w:r>
              <w:rPr>
                <w:rFonts w:hint="eastAsia" w:ascii="宋体" w:hAnsi="宋体" w:cs="宋体"/>
                <w:sz w:val="24"/>
              </w:rPr>
              <w:t>评委3评分</w:t>
            </w:r>
          </w:p>
        </w:tc>
        <w:tc>
          <w:tcPr>
            <w:tcW w:w="1214" w:type="dxa"/>
            <w:vAlign w:val="center"/>
          </w:tcPr>
          <w:p>
            <w:pPr>
              <w:jc w:val="center"/>
              <w:rPr>
                <w:rFonts w:ascii="宋体" w:hAnsi="宋体" w:cs="宋体"/>
                <w:sz w:val="24"/>
              </w:rPr>
            </w:pPr>
            <w:r>
              <w:rPr>
                <w:rFonts w:hint="eastAsia" w:ascii="宋体" w:hAnsi="宋体" w:cs="宋体"/>
                <w:sz w:val="24"/>
              </w:rPr>
              <w:t>评委4评分</w:t>
            </w:r>
          </w:p>
        </w:tc>
        <w:tc>
          <w:tcPr>
            <w:tcW w:w="1198" w:type="dxa"/>
            <w:vAlign w:val="center"/>
          </w:tcPr>
          <w:p>
            <w:pPr>
              <w:jc w:val="center"/>
              <w:rPr>
                <w:rFonts w:ascii="宋体" w:hAnsi="宋体" w:cs="宋体"/>
                <w:szCs w:val="21"/>
              </w:rPr>
            </w:pPr>
            <w:r>
              <w:rPr>
                <w:rFonts w:hint="eastAsia" w:ascii="宋体" w:hAnsi="宋体" w:cs="宋体"/>
                <w:sz w:val="24"/>
              </w:rPr>
              <w:t>评委5评分</w:t>
            </w:r>
          </w:p>
        </w:tc>
        <w:tc>
          <w:tcPr>
            <w:tcW w:w="1118" w:type="dxa"/>
            <w:vAlign w:val="center"/>
          </w:tcPr>
          <w:p>
            <w:pPr>
              <w:jc w:val="center"/>
              <w:rPr>
                <w:rFonts w:ascii="宋体" w:hAnsi="宋体" w:cs="宋体"/>
                <w:sz w:val="24"/>
              </w:rPr>
            </w:pPr>
            <w:r>
              <w:rPr>
                <w:rFonts w:hint="eastAsia" w:ascii="宋体" w:hAnsi="宋体" w:cs="宋体"/>
                <w:szCs w:val="21"/>
              </w:rPr>
              <w:t>平均得分</w:t>
            </w:r>
          </w:p>
        </w:tc>
        <w:tc>
          <w:tcPr>
            <w:tcW w:w="941"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2489" w:type="dxa"/>
            <w:vAlign w:val="center"/>
          </w:tcPr>
          <w:p>
            <w:pPr>
              <w:jc w:val="center"/>
              <w:rPr>
                <w:rFonts w:ascii="宋体" w:hAnsi="宋体" w:cs="宋体"/>
                <w:sz w:val="24"/>
              </w:rPr>
            </w:pPr>
            <w:r>
              <w:rPr>
                <w:rFonts w:hint="eastAsia" w:ascii="宋体" w:hAnsi="宋体" w:cs="宋体"/>
                <w:sz w:val="24"/>
              </w:rPr>
              <w:t>供应商A</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2489" w:type="dxa"/>
            <w:vAlign w:val="center"/>
          </w:tcPr>
          <w:p>
            <w:pPr>
              <w:jc w:val="center"/>
              <w:rPr>
                <w:rFonts w:ascii="宋体" w:hAnsi="宋体" w:cs="宋体"/>
                <w:sz w:val="24"/>
              </w:rPr>
            </w:pPr>
            <w:r>
              <w:rPr>
                <w:rFonts w:hint="eastAsia" w:ascii="宋体" w:hAnsi="宋体" w:cs="宋体"/>
                <w:sz w:val="24"/>
              </w:rPr>
              <w:t>供应商B</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2489" w:type="dxa"/>
            <w:vAlign w:val="center"/>
          </w:tcPr>
          <w:p>
            <w:pPr>
              <w:jc w:val="center"/>
              <w:rPr>
                <w:rFonts w:ascii="宋体" w:hAnsi="宋体" w:cs="宋体"/>
                <w:sz w:val="24"/>
              </w:rPr>
            </w:pPr>
            <w:r>
              <w:rPr>
                <w:rFonts w:hint="eastAsia" w:ascii="宋体" w:hAnsi="宋体" w:cs="宋体"/>
                <w:sz w:val="24"/>
              </w:rPr>
              <w:t>供应商C</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2489" w:type="dxa"/>
            <w:vAlign w:val="center"/>
          </w:tcPr>
          <w:p>
            <w:pPr>
              <w:jc w:val="center"/>
              <w:rPr>
                <w:rFonts w:ascii="宋体" w:hAnsi="宋体" w:cs="宋体"/>
                <w:sz w:val="24"/>
              </w:rPr>
            </w:pPr>
            <w:r>
              <w:rPr>
                <w:rFonts w:hint="eastAsia" w:ascii="宋体" w:hAnsi="宋体" w:cs="宋体"/>
                <w:sz w:val="24"/>
              </w:rPr>
              <w:t>……</w:t>
            </w:r>
          </w:p>
        </w:tc>
        <w:tc>
          <w:tcPr>
            <w:tcW w:w="1282" w:type="dxa"/>
            <w:vAlign w:val="center"/>
          </w:tcPr>
          <w:p>
            <w:pPr>
              <w:jc w:val="center"/>
              <w:rPr>
                <w:rFonts w:ascii="宋体" w:hAnsi="宋体" w:cs="宋体"/>
                <w:sz w:val="24"/>
              </w:rPr>
            </w:pPr>
          </w:p>
        </w:tc>
        <w:tc>
          <w:tcPr>
            <w:tcW w:w="1227" w:type="dxa"/>
            <w:vAlign w:val="center"/>
          </w:tcPr>
          <w:p>
            <w:pPr>
              <w:jc w:val="center"/>
              <w:rPr>
                <w:rFonts w:ascii="宋体" w:hAnsi="宋体" w:cs="宋体"/>
                <w:sz w:val="24"/>
              </w:rPr>
            </w:pPr>
          </w:p>
        </w:tc>
        <w:tc>
          <w:tcPr>
            <w:tcW w:w="1268" w:type="dxa"/>
            <w:vAlign w:val="center"/>
          </w:tcPr>
          <w:p>
            <w:pPr>
              <w:jc w:val="center"/>
              <w:rPr>
                <w:rFonts w:ascii="宋体" w:hAnsi="宋体" w:cs="宋体"/>
                <w:sz w:val="24"/>
              </w:rPr>
            </w:pPr>
          </w:p>
        </w:tc>
        <w:tc>
          <w:tcPr>
            <w:tcW w:w="1214" w:type="dxa"/>
            <w:vAlign w:val="center"/>
          </w:tcPr>
          <w:p>
            <w:pPr>
              <w:jc w:val="center"/>
              <w:rPr>
                <w:rFonts w:ascii="宋体" w:hAnsi="宋体" w:cs="宋体"/>
                <w:sz w:val="24"/>
              </w:rPr>
            </w:pPr>
          </w:p>
        </w:tc>
        <w:tc>
          <w:tcPr>
            <w:tcW w:w="1198" w:type="dxa"/>
            <w:vAlign w:val="center"/>
          </w:tcPr>
          <w:p>
            <w:pPr>
              <w:jc w:val="center"/>
              <w:rPr>
                <w:rFonts w:ascii="宋体" w:hAnsi="宋体" w:cs="宋体"/>
                <w:sz w:val="24"/>
              </w:rPr>
            </w:pPr>
          </w:p>
        </w:tc>
        <w:tc>
          <w:tcPr>
            <w:tcW w:w="1118" w:type="dxa"/>
            <w:vAlign w:val="center"/>
          </w:tcPr>
          <w:p>
            <w:pPr>
              <w:jc w:val="center"/>
              <w:rPr>
                <w:rFonts w:ascii="宋体" w:hAnsi="宋体" w:cs="宋体"/>
                <w:sz w:val="24"/>
              </w:rPr>
            </w:pPr>
          </w:p>
        </w:tc>
        <w:tc>
          <w:tcPr>
            <w:tcW w:w="941" w:type="dxa"/>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pPr>
      <w:r>
        <w:rPr>
          <w:rFonts w:hint="eastAsia" w:ascii="宋体" w:hAnsi="宋体" w:cs="宋体"/>
          <w:bCs/>
          <w:sz w:val="24"/>
        </w:rPr>
        <w:t>评审日期：</w:t>
      </w:r>
    </w:p>
    <w:p>
      <w:pPr>
        <w:rPr>
          <w:rFonts w:ascii="宋体" w:hAnsi="宋体" w:cs="宋体"/>
          <w:sz w:val="24"/>
        </w:rPr>
      </w:pPr>
      <w:r>
        <w:rPr>
          <w:rFonts w:hint="eastAsia" w:ascii="宋体" w:hAnsi="宋体" w:cs="宋体"/>
          <w:sz w:val="24"/>
        </w:rPr>
        <w:br w:type="page"/>
      </w:r>
      <w:r>
        <w:rPr>
          <w:rFonts w:hint="eastAsia" w:ascii="宋体" w:hAnsi="宋体" w:cs="宋体"/>
          <w:sz w:val="24"/>
        </w:rPr>
        <w:t xml:space="preserve">    十、价格评分汇总表</w:t>
      </w:r>
    </w:p>
    <w:p>
      <w:pPr>
        <w:pStyle w:val="44"/>
        <w:spacing w:line="240" w:lineRule="auto"/>
      </w:pPr>
    </w:p>
    <w:p>
      <w:pPr>
        <w:jc w:val="center"/>
        <w:rPr>
          <w:rFonts w:ascii="宋体" w:hAnsi="宋体" w:cs="宋体"/>
          <w:sz w:val="24"/>
        </w:rPr>
      </w:pPr>
      <w:r>
        <w:rPr>
          <w:rFonts w:hint="eastAsia" w:ascii="宋体" w:hAnsi="宋体" w:cs="宋体"/>
          <w:b/>
          <w:bCs/>
          <w:sz w:val="44"/>
          <w:szCs w:val="44"/>
        </w:rPr>
        <w:t>价格评分汇总表</w:t>
      </w:r>
    </w:p>
    <w:p>
      <w:pPr>
        <w:rPr>
          <w:rFonts w:ascii="宋体" w:hAnsi="宋体" w:cs="宋体"/>
          <w:sz w:val="24"/>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序号</w:t>
            </w:r>
          </w:p>
        </w:tc>
        <w:tc>
          <w:tcPr>
            <w:tcW w:w="3720" w:type="dxa"/>
            <w:vAlign w:val="center"/>
          </w:tcPr>
          <w:p>
            <w:pPr>
              <w:jc w:val="center"/>
              <w:rPr>
                <w:rFonts w:ascii="宋体" w:hAnsi="宋体" w:cs="宋体"/>
                <w:sz w:val="24"/>
              </w:rPr>
            </w:pPr>
            <w:r>
              <w:rPr>
                <w:rFonts w:hint="eastAsia" w:ascii="宋体" w:hAnsi="宋体" w:cs="宋体"/>
                <w:sz w:val="24"/>
              </w:rPr>
              <w:t>参评供应商名称</w:t>
            </w:r>
          </w:p>
          <w:p>
            <w:pPr>
              <w:jc w:val="center"/>
              <w:rPr>
                <w:rFonts w:ascii="宋体" w:hAnsi="宋体" w:cs="宋体"/>
                <w:sz w:val="24"/>
              </w:rPr>
            </w:pPr>
            <w:r>
              <w:rPr>
                <w:rFonts w:hint="eastAsia" w:ascii="宋体" w:hAnsi="宋体" w:cs="宋体"/>
                <w:sz w:val="24"/>
              </w:rPr>
              <w:t>（按报名顺序排列）</w:t>
            </w:r>
          </w:p>
        </w:tc>
        <w:tc>
          <w:tcPr>
            <w:tcW w:w="1320" w:type="dxa"/>
            <w:vAlign w:val="center"/>
          </w:tcPr>
          <w:p>
            <w:pPr>
              <w:jc w:val="center"/>
              <w:rPr>
                <w:rFonts w:ascii="宋体" w:hAnsi="宋体" w:cs="宋体"/>
                <w:sz w:val="24"/>
              </w:rPr>
            </w:pPr>
            <w:r>
              <w:rPr>
                <w:rFonts w:hint="eastAsia" w:ascii="宋体" w:hAnsi="宋体" w:cs="宋体"/>
                <w:szCs w:val="21"/>
              </w:rPr>
              <w:t>单价报价（元）</w:t>
            </w:r>
          </w:p>
        </w:tc>
        <w:tc>
          <w:tcPr>
            <w:tcW w:w="1110" w:type="dxa"/>
            <w:vAlign w:val="center"/>
          </w:tcPr>
          <w:p>
            <w:pPr>
              <w:jc w:val="center"/>
              <w:rPr>
                <w:rFonts w:ascii="宋体" w:hAnsi="宋体" w:cs="宋体"/>
                <w:sz w:val="24"/>
              </w:rPr>
            </w:pPr>
            <w:r>
              <w:rPr>
                <w:rFonts w:hint="eastAsia" w:ascii="宋体" w:hAnsi="宋体" w:cs="宋体"/>
                <w:szCs w:val="21"/>
              </w:rPr>
              <w:t>基准价格（元）</w:t>
            </w:r>
          </w:p>
        </w:tc>
        <w:tc>
          <w:tcPr>
            <w:tcW w:w="1297" w:type="dxa"/>
            <w:vAlign w:val="center"/>
          </w:tcPr>
          <w:p>
            <w:pPr>
              <w:jc w:val="center"/>
              <w:rPr>
                <w:rFonts w:ascii="宋体" w:hAnsi="宋体" w:cs="宋体"/>
                <w:sz w:val="24"/>
              </w:rPr>
            </w:pPr>
            <w:r>
              <w:rPr>
                <w:rFonts w:hint="eastAsia" w:ascii="宋体" w:hAnsi="宋体" w:cs="宋体"/>
                <w:szCs w:val="21"/>
              </w:rPr>
              <w:t>得分</w:t>
            </w:r>
          </w:p>
        </w:tc>
        <w:tc>
          <w:tcPr>
            <w:tcW w:w="840"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1</w:t>
            </w:r>
          </w:p>
        </w:tc>
        <w:tc>
          <w:tcPr>
            <w:tcW w:w="3720" w:type="dxa"/>
            <w:vAlign w:val="center"/>
          </w:tcPr>
          <w:p>
            <w:pPr>
              <w:jc w:val="center"/>
              <w:rPr>
                <w:rFonts w:ascii="宋体" w:hAnsi="宋体" w:cs="宋体"/>
                <w:sz w:val="24"/>
              </w:rPr>
            </w:pPr>
            <w:r>
              <w:rPr>
                <w:rFonts w:hint="eastAsia" w:ascii="宋体" w:hAnsi="宋体" w:cs="宋体"/>
                <w:sz w:val="24"/>
              </w:rPr>
              <w:t>供应商A</w:t>
            </w:r>
          </w:p>
        </w:tc>
        <w:tc>
          <w:tcPr>
            <w:tcW w:w="1320" w:type="dxa"/>
            <w:vAlign w:val="center"/>
          </w:tcPr>
          <w:p>
            <w:pPr>
              <w:jc w:val="center"/>
              <w:rPr>
                <w:rFonts w:ascii="宋体" w:hAnsi="宋体" w:cs="宋体"/>
                <w:sz w:val="24"/>
              </w:rPr>
            </w:pPr>
          </w:p>
        </w:tc>
        <w:tc>
          <w:tcPr>
            <w:tcW w:w="1110" w:type="dxa"/>
            <w:vMerge w:val="restart"/>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2</w:t>
            </w:r>
          </w:p>
        </w:tc>
        <w:tc>
          <w:tcPr>
            <w:tcW w:w="3720" w:type="dxa"/>
            <w:vAlign w:val="center"/>
          </w:tcPr>
          <w:p>
            <w:pPr>
              <w:jc w:val="center"/>
              <w:rPr>
                <w:rFonts w:ascii="宋体" w:hAnsi="宋体" w:cs="宋体"/>
                <w:sz w:val="24"/>
              </w:rPr>
            </w:pPr>
            <w:r>
              <w:rPr>
                <w:rFonts w:hint="eastAsia" w:ascii="宋体" w:hAnsi="宋体" w:cs="宋体"/>
                <w:sz w:val="24"/>
              </w:rPr>
              <w:t>供应商B</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r>
              <w:rPr>
                <w:rFonts w:hint="eastAsia" w:ascii="宋体" w:hAnsi="宋体" w:cs="宋体"/>
                <w:sz w:val="24"/>
              </w:rPr>
              <w:t>3</w:t>
            </w:r>
          </w:p>
        </w:tc>
        <w:tc>
          <w:tcPr>
            <w:tcW w:w="3720" w:type="dxa"/>
            <w:vAlign w:val="center"/>
          </w:tcPr>
          <w:p>
            <w:pPr>
              <w:jc w:val="center"/>
              <w:rPr>
                <w:rFonts w:ascii="宋体" w:hAnsi="宋体" w:cs="宋体"/>
                <w:sz w:val="24"/>
              </w:rPr>
            </w:pPr>
            <w:r>
              <w:rPr>
                <w:rFonts w:hint="eastAsia" w:ascii="宋体" w:hAnsi="宋体" w:cs="宋体"/>
                <w:sz w:val="24"/>
              </w:rPr>
              <w:t>供应商C</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rPr>
            </w:pPr>
          </w:p>
        </w:tc>
        <w:tc>
          <w:tcPr>
            <w:tcW w:w="3720" w:type="dxa"/>
            <w:vAlign w:val="center"/>
          </w:tcPr>
          <w:p>
            <w:pPr>
              <w:jc w:val="center"/>
              <w:rPr>
                <w:rFonts w:ascii="宋体" w:hAnsi="宋体" w:cs="宋体"/>
                <w:sz w:val="24"/>
              </w:rPr>
            </w:pPr>
            <w:r>
              <w:rPr>
                <w:rFonts w:hint="eastAsia" w:ascii="宋体" w:hAnsi="宋体" w:cs="宋体"/>
                <w:sz w:val="24"/>
              </w:rPr>
              <w:t>……</w:t>
            </w:r>
          </w:p>
        </w:tc>
        <w:tc>
          <w:tcPr>
            <w:tcW w:w="1320" w:type="dxa"/>
            <w:vAlign w:val="center"/>
          </w:tcPr>
          <w:p>
            <w:pPr>
              <w:jc w:val="center"/>
              <w:rPr>
                <w:rFonts w:ascii="宋体" w:hAnsi="宋体" w:cs="宋体"/>
                <w:sz w:val="24"/>
              </w:rPr>
            </w:pPr>
          </w:p>
        </w:tc>
        <w:tc>
          <w:tcPr>
            <w:tcW w:w="1110" w:type="dxa"/>
            <w:vMerge w:val="continue"/>
            <w:vAlign w:val="center"/>
          </w:tcPr>
          <w:p>
            <w:pPr>
              <w:jc w:val="center"/>
              <w:rPr>
                <w:rFonts w:ascii="宋体" w:hAnsi="宋体" w:cs="宋体"/>
                <w:sz w:val="24"/>
              </w:rPr>
            </w:pPr>
          </w:p>
        </w:tc>
        <w:tc>
          <w:tcPr>
            <w:tcW w:w="1297" w:type="dxa"/>
            <w:vAlign w:val="center"/>
          </w:tcPr>
          <w:p>
            <w:pPr>
              <w:jc w:val="center"/>
              <w:rPr>
                <w:rFonts w:ascii="宋体" w:hAnsi="宋体" w:cs="宋体"/>
                <w:sz w:val="24"/>
              </w:rPr>
            </w:pPr>
          </w:p>
        </w:tc>
        <w:tc>
          <w:tcPr>
            <w:tcW w:w="864" w:type="dxa"/>
            <w:gridSpan w:val="2"/>
            <w:vAlign w:val="center"/>
          </w:tcPr>
          <w:p>
            <w:pPr>
              <w:jc w:val="center"/>
              <w:rPr>
                <w:rFonts w:ascii="宋体" w:hAnsi="宋体" w:cs="宋体"/>
                <w:sz w:val="24"/>
              </w:rPr>
            </w:pPr>
          </w:p>
        </w:tc>
      </w:tr>
    </w:tbl>
    <w:p>
      <w:pPr>
        <w:adjustRightInd w:val="0"/>
        <w:snapToGrid w:val="0"/>
        <w:rPr>
          <w:rFonts w:ascii="宋体" w:hAnsi="宋体" w:cs="宋体"/>
          <w:b/>
          <w:sz w:val="24"/>
        </w:rPr>
      </w:pPr>
      <w:r>
        <w:rPr>
          <w:rFonts w:hint="eastAsia" w:ascii="宋体" w:hAnsi="宋体" w:cs="宋体"/>
          <w:b/>
          <w:sz w:val="24"/>
        </w:rPr>
        <w:t>注：上述表格可手写或打印，但不能涂改。</w:t>
      </w:r>
    </w:p>
    <w:p>
      <w:pPr>
        <w:adjustRightInd w:val="0"/>
        <w:snapToGrid w:val="0"/>
        <w:spacing w:line="560" w:lineRule="exact"/>
        <w:rPr>
          <w:rFonts w:ascii="宋体" w:hAnsi="宋体" w:cs="宋体"/>
          <w:bCs/>
          <w:sz w:val="24"/>
        </w:rPr>
      </w:pPr>
    </w:p>
    <w:p>
      <w:pPr>
        <w:adjustRightInd w:val="0"/>
        <w:snapToGrid w:val="0"/>
        <w:spacing w:line="560" w:lineRule="exact"/>
        <w:rPr>
          <w:rFonts w:ascii="宋体" w:hAnsi="宋体" w:cs="宋体"/>
          <w:bCs/>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bCs/>
          <w:sz w:val="24"/>
        </w:rPr>
        <w:t xml:space="preserve">成员签名：                  </w:t>
      </w:r>
    </w:p>
    <w:p>
      <w:pPr>
        <w:adjustRightInd w:val="0"/>
        <w:snapToGrid w:val="0"/>
        <w:spacing w:line="560" w:lineRule="exact"/>
        <w:rPr>
          <w:rFonts w:ascii="宋体" w:hAnsi="宋体" w:cs="宋体"/>
          <w:bCs/>
          <w:sz w:val="24"/>
        </w:rPr>
      </w:pPr>
      <w:r>
        <w:rPr>
          <w:rFonts w:hint="eastAsia" w:ascii="宋体" w:hAnsi="宋体" w:cs="宋体"/>
          <w:bCs/>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2"/>
        <w:ind w:firstLine="210"/>
      </w:pPr>
    </w:p>
    <w:p/>
    <w:p>
      <w:pPr>
        <w:pStyle w:val="44"/>
      </w:pPr>
    </w:p>
    <w:p>
      <w:pPr>
        <w:pStyle w:val="44"/>
      </w:pPr>
    </w:p>
    <w:p>
      <w:pPr>
        <w:pStyle w:val="44"/>
      </w:pPr>
    </w:p>
    <w:p>
      <w:pPr>
        <w:pStyle w:val="44"/>
      </w:pPr>
    </w:p>
    <w:p>
      <w:pPr>
        <w:sectPr>
          <w:pgSz w:w="11907" w:h="16840"/>
          <w:pgMar w:top="1134" w:right="1417" w:bottom="1134" w:left="1417" w:header="624" w:footer="992" w:gutter="0"/>
          <w:cols w:space="720" w:num="1"/>
          <w:docGrid w:linePitch="312" w:charSpace="0"/>
        </w:sectPr>
      </w:pPr>
    </w:p>
    <w:p>
      <w:pPr>
        <w:ind w:firstLine="420" w:firstLineChars="200"/>
        <w:rPr>
          <w:rFonts w:ascii="宋体" w:hAnsi="宋体" w:cs="宋体"/>
          <w:sz w:val="24"/>
        </w:rPr>
      </w:pPr>
      <w:r>
        <w:rPr>
          <w:rFonts w:hint="eastAsia"/>
        </w:rPr>
        <w:t>十一</w:t>
      </w:r>
      <w:r>
        <w:rPr>
          <w:rFonts w:hint="eastAsia" w:ascii="宋体" w:hAnsi="宋体" w:cs="宋体"/>
          <w:sz w:val="24"/>
        </w:rPr>
        <w:t>、评审结果汇总表</w:t>
      </w:r>
    </w:p>
    <w:p>
      <w:pPr>
        <w:rPr>
          <w:rFonts w:ascii="宋体" w:hAnsi="宋体" w:cs="宋体"/>
          <w:sz w:val="24"/>
        </w:rPr>
      </w:pPr>
    </w:p>
    <w:p>
      <w:pPr>
        <w:adjustRightInd w:val="0"/>
        <w:snapToGrid w:val="0"/>
        <w:spacing w:line="560" w:lineRule="exact"/>
        <w:jc w:val="center"/>
        <w:rPr>
          <w:rFonts w:ascii="宋体" w:hAnsi="宋体" w:cs="宋体"/>
          <w:b/>
          <w:bCs/>
          <w:sz w:val="44"/>
          <w:szCs w:val="44"/>
        </w:rPr>
      </w:pPr>
      <w:r>
        <w:rPr>
          <w:rFonts w:hint="eastAsia" w:ascii="宋体" w:hAnsi="宋体" w:cs="宋体"/>
          <w:b/>
          <w:bCs/>
          <w:sz w:val="44"/>
          <w:szCs w:val="44"/>
        </w:rPr>
        <w:t>评审结果汇总表</w:t>
      </w:r>
    </w:p>
    <w:p>
      <w:pPr>
        <w:rPr>
          <w:rFonts w:ascii="宋体" w:hAnsi="宋体" w:cs="宋体"/>
          <w:sz w:val="24"/>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序号</w:t>
            </w:r>
          </w:p>
        </w:tc>
        <w:tc>
          <w:tcPr>
            <w:tcW w:w="3067" w:type="dxa"/>
            <w:vAlign w:val="center"/>
          </w:tcPr>
          <w:p>
            <w:pPr>
              <w:jc w:val="center"/>
              <w:rPr>
                <w:rFonts w:ascii="宋体" w:hAnsi="宋体" w:cs="宋体"/>
                <w:sz w:val="24"/>
              </w:rPr>
            </w:pPr>
            <w:r>
              <w:rPr>
                <w:rFonts w:hint="eastAsia" w:ascii="宋体" w:hAnsi="宋体" w:cs="宋体"/>
                <w:sz w:val="24"/>
              </w:rPr>
              <w:t>潜在供应商名称</w:t>
            </w:r>
          </w:p>
          <w:p>
            <w:pPr>
              <w:jc w:val="center"/>
              <w:rPr>
                <w:rFonts w:ascii="宋体" w:hAnsi="宋体" w:cs="宋体"/>
                <w:sz w:val="24"/>
              </w:rPr>
            </w:pPr>
            <w:r>
              <w:rPr>
                <w:rFonts w:hint="eastAsia" w:ascii="宋体" w:hAnsi="宋体" w:cs="宋体"/>
                <w:sz w:val="24"/>
              </w:rPr>
              <w:t>（按报名顺序排列）</w:t>
            </w:r>
          </w:p>
        </w:tc>
        <w:tc>
          <w:tcPr>
            <w:tcW w:w="900" w:type="dxa"/>
            <w:vAlign w:val="center"/>
          </w:tcPr>
          <w:p>
            <w:pPr>
              <w:jc w:val="center"/>
              <w:rPr>
                <w:rFonts w:ascii="宋体" w:hAnsi="宋体" w:cs="宋体"/>
                <w:sz w:val="24"/>
              </w:rPr>
            </w:pPr>
            <w:r>
              <w:rPr>
                <w:rFonts w:hint="eastAsia" w:ascii="宋体" w:hAnsi="宋体" w:cs="宋体"/>
                <w:sz w:val="24"/>
              </w:rPr>
              <w:t>资格评审情况</w:t>
            </w:r>
          </w:p>
        </w:tc>
        <w:tc>
          <w:tcPr>
            <w:tcW w:w="1095" w:type="dxa"/>
            <w:vAlign w:val="center"/>
          </w:tcPr>
          <w:p>
            <w:pPr>
              <w:jc w:val="center"/>
              <w:rPr>
                <w:rFonts w:ascii="宋体" w:hAnsi="宋体" w:cs="宋体"/>
                <w:szCs w:val="21"/>
              </w:rPr>
            </w:pPr>
            <w:r>
              <w:rPr>
                <w:rFonts w:hint="eastAsia" w:ascii="宋体" w:hAnsi="宋体" w:cs="宋体"/>
                <w:szCs w:val="21"/>
              </w:rPr>
              <w:t>单价报价（元）</w:t>
            </w:r>
          </w:p>
        </w:tc>
        <w:tc>
          <w:tcPr>
            <w:tcW w:w="1105" w:type="dxa"/>
            <w:vAlign w:val="center"/>
          </w:tcPr>
          <w:p>
            <w:pPr>
              <w:jc w:val="center"/>
              <w:rPr>
                <w:rFonts w:ascii="宋体" w:hAnsi="宋体" w:cs="宋体"/>
                <w:szCs w:val="21"/>
              </w:rPr>
            </w:pPr>
            <w:r>
              <w:rPr>
                <w:rFonts w:hint="eastAsia" w:ascii="宋体" w:hAnsi="宋体" w:cs="宋体"/>
                <w:szCs w:val="21"/>
              </w:rPr>
              <w:t>价格得分</w:t>
            </w:r>
          </w:p>
        </w:tc>
        <w:tc>
          <w:tcPr>
            <w:tcW w:w="1105" w:type="dxa"/>
            <w:vAlign w:val="center"/>
          </w:tcPr>
          <w:p>
            <w:pPr>
              <w:jc w:val="center"/>
              <w:rPr>
                <w:rFonts w:ascii="宋体" w:hAnsi="宋体" w:cs="宋体"/>
                <w:szCs w:val="21"/>
              </w:rPr>
            </w:pPr>
            <w:r>
              <w:rPr>
                <w:rFonts w:hint="eastAsia" w:ascii="宋体" w:hAnsi="宋体" w:cs="宋体"/>
                <w:szCs w:val="21"/>
              </w:rPr>
              <w:t>技术商务平均得分</w:t>
            </w:r>
          </w:p>
        </w:tc>
        <w:tc>
          <w:tcPr>
            <w:tcW w:w="1105" w:type="dxa"/>
            <w:vAlign w:val="center"/>
          </w:tcPr>
          <w:p>
            <w:pPr>
              <w:jc w:val="center"/>
              <w:rPr>
                <w:rFonts w:ascii="宋体" w:hAnsi="宋体" w:cs="宋体"/>
                <w:sz w:val="24"/>
              </w:rPr>
            </w:pPr>
            <w:r>
              <w:rPr>
                <w:rFonts w:hint="eastAsia" w:ascii="宋体" w:hAnsi="宋体" w:cs="宋体"/>
                <w:szCs w:val="21"/>
              </w:rPr>
              <w:t>总得分</w:t>
            </w:r>
          </w:p>
        </w:tc>
        <w:tc>
          <w:tcPr>
            <w:tcW w:w="1054" w:type="dxa"/>
            <w:vAlign w:val="center"/>
          </w:tcPr>
          <w:p>
            <w:pPr>
              <w:jc w:val="center"/>
              <w:rPr>
                <w:rFonts w:ascii="宋体" w:hAnsi="宋体" w:cs="宋体"/>
                <w:sz w:val="24"/>
              </w:rPr>
            </w:pPr>
            <w:r>
              <w:rPr>
                <w:rFonts w:hint="eastAsia" w:ascii="宋体" w:hAnsi="宋体" w:cs="宋体"/>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1</w:t>
            </w:r>
          </w:p>
        </w:tc>
        <w:tc>
          <w:tcPr>
            <w:tcW w:w="3067" w:type="dxa"/>
            <w:vAlign w:val="center"/>
          </w:tcPr>
          <w:p>
            <w:pPr>
              <w:jc w:val="center"/>
              <w:rPr>
                <w:rFonts w:ascii="宋体" w:hAnsi="宋体" w:cs="宋体"/>
                <w:sz w:val="24"/>
              </w:rPr>
            </w:pPr>
            <w:r>
              <w:rPr>
                <w:rFonts w:hint="eastAsia" w:ascii="宋体" w:hAnsi="宋体" w:cs="宋体"/>
                <w:sz w:val="24"/>
              </w:rPr>
              <w:t>供应商A</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Cs w:val="21"/>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2</w:t>
            </w:r>
          </w:p>
        </w:tc>
        <w:tc>
          <w:tcPr>
            <w:tcW w:w="3067" w:type="dxa"/>
            <w:vAlign w:val="center"/>
          </w:tcPr>
          <w:p>
            <w:pPr>
              <w:jc w:val="center"/>
              <w:rPr>
                <w:rFonts w:ascii="宋体" w:hAnsi="宋体" w:cs="宋体"/>
                <w:sz w:val="24"/>
              </w:rPr>
            </w:pPr>
            <w:r>
              <w:rPr>
                <w:rFonts w:hint="eastAsia" w:ascii="宋体" w:hAnsi="宋体" w:cs="宋体"/>
                <w:sz w:val="24"/>
              </w:rPr>
              <w:t>供应商B</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r>
              <w:rPr>
                <w:rFonts w:hint="eastAsia" w:ascii="宋体" w:hAnsi="宋体" w:cs="宋体"/>
                <w:sz w:val="24"/>
              </w:rPr>
              <w:t>3</w:t>
            </w:r>
          </w:p>
        </w:tc>
        <w:tc>
          <w:tcPr>
            <w:tcW w:w="3067" w:type="dxa"/>
            <w:vAlign w:val="center"/>
          </w:tcPr>
          <w:p>
            <w:pPr>
              <w:jc w:val="center"/>
              <w:rPr>
                <w:rFonts w:ascii="宋体" w:hAnsi="宋体" w:cs="宋体"/>
                <w:sz w:val="24"/>
              </w:rPr>
            </w:pPr>
            <w:r>
              <w:rPr>
                <w:rFonts w:hint="eastAsia" w:ascii="宋体" w:hAnsi="宋体" w:cs="宋体"/>
                <w:sz w:val="24"/>
              </w:rPr>
              <w:t>供应商C</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rPr>
            </w:pPr>
          </w:p>
        </w:tc>
        <w:tc>
          <w:tcPr>
            <w:tcW w:w="3067" w:type="dxa"/>
            <w:vAlign w:val="center"/>
          </w:tcPr>
          <w:p>
            <w:pPr>
              <w:jc w:val="center"/>
              <w:rPr>
                <w:rFonts w:ascii="宋体" w:hAnsi="宋体" w:cs="宋体"/>
                <w:sz w:val="24"/>
              </w:rPr>
            </w:pPr>
            <w:r>
              <w:rPr>
                <w:rFonts w:hint="eastAsia" w:ascii="宋体" w:hAnsi="宋体" w:cs="宋体"/>
                <w:sz w:val="24"/>
              </w:rPr>
              <w:t>……</w:t>
            </w:r>
          </w:p>
        </w:tc>
        <w:tc>
          <w:tcPr>
            <w:tcW w:w="900" w:type="dxa"/>
            <w:vAlign w:val="center"/>
          </w:tcPr>
          <w:p>
            <w:pPr>
              <w:jc w:val="center"/>
              <w:rPr>
                <w:rFonts w:ascii="宋体" w:hAnsi="宋体" w:cs="宋体"/>
                <w:sz w:val="24"/>
              </w:rPr>
            </w:pPr>
          </w:p>
        </w:tc>
        <w:tc>
          <w:tcPr>
            <w:tcW w:w="109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105" w:type="dxa"/>
            <w:vAlign w:val="center"/>
          </w:tcPr>
          <w:p>
            <w:pPr>
              <w:jc w:val="center"/>
              <w:rPr>
                <w:rFonts w:ascii="宋体" w:hAnsi="宋体" w:cs="宋体"/>
                <w:sz w:val="24"/>
              </w:rPr>
            </w:pPr>
          </w:p>
        </w:tc>
        <w:tc>
          <w:tcPr>
            <w:tcW w:w="1054" w:type="dxa"/>
            <w:vAlign w:val="center"/>
          </w:tcPr>
          <w:p>
            <w:pPr>
              <w:jc w:val="center"/>
              <w:rPr>
                <w:rFonts w:ascii="宋体" w:hAnsi="宋体" w:cs="宋体"/>
                <w:sz w:val="24"/>
              </w:rPr>
            </w:pPr>
          </w:p>
        </w:tc>
      </w:tr>
    </w:tbl>
    <w:p>
      <w:pPr>
        <w:rPr>
          <w:rFonts w:ascii="宋体" w:hAnsi="宋体" w:cs="宋体"/>
          <w:sz w:val="24"/>
        </w:rPr>
      </w:pPr>
      <w:r>
        <w:rPr>
          <w:rFonts w:hint="eastAsia" w:ascii="宋体" w:hAnsi="宋体" w:cs="宋体"/>
          <w:sz w:val="24"/>
        </w:rPr>
        <w:t>注：1.资格评审情况填“通过”或“不通过”。</w:t>
      </w:r>
    </w:p>
    <w:p>
      <w:pPr>
        <w:ind w:firstLine="480" w:firstLineChars="200"/>
        <w:rPr>
          <w:rFonts w:ascii="宋体" w:hAnsi="宋体" w:cs="宋体"/>
          <w:sz w:val="24"/>
        </w:rPr>
      </w:pPr>
      <w:r>
        <w:rPr>
          <w:rFonts w:hint="eastAsia" w:ascii="宋体" w:hAnsi="宋体" w:cs="宋体"/>
          <w:sz w:val="24"/>
        </w:rPr>
        <w:t>2.上述表格可手写或打印，但不能涂改。</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评标委员会</w:t>
      </w:r>
      <w:r>
        <w:rPr>
          <w:rFonts w:hint="eastAsia" w:ascii="宋体" w:hAnsi="宋体" w:cs="宋体"/>
          <w:sz w:val="24"/>
          <w:lang w:val="en-US" w:eastAsia="zh-CN"/>
        </w:rPr>
        <w:t>全体</w:t>
      </w:r>
      <w:r>
        <w:rPr>
          <w:rFonts w:hint="eastAsia" w:ascii="宋体" w:hAnsi="宋体" w:cs="宋体"/>
          <w:sz w:val="24"/>
        </w:rPr>
        <w:t xml:space="preserve">成员签名：                  </w:t>
      </w:r>
    </w:p>
    <w:p>
      <w:pPr>
        <w:spacing w:line="560" w:lineRule="exact"/>
        <w:rPr>
          <w:rFonts w:ascii="宋体" w:hAnsi="宋体" w:cs="宋体"/>
          <w:sz w:val="24"/>
        </w:rPr>
      </w:pPr>
      <w:r>
        <w:rPr>
          <w:rFonts w:hint="eastAsia" w:ascii="宋体" w:hAnsi="宋体" w:cs="宋体"/>
          <w:sz w:val="24"/>
        </w:rPr>
        <w:t>评审日期：</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p>
    <w:p>
      <w:pPr>
        <w:adjustRightInd w:val="0"/>
        <w:snapToGrid w:val="0"/>
        <w:spacing w:line="560" w:lineRule="exact"/>
        <w:jc w:val="center"/>
        <w:outlineLvl w:val="0"/>
        <w:rPr>
          <w:b/>
          <w:bCs/>
          <w:sz w:val="44"/>
          <w:szCs w:val="44"/>
        </w:rPr>
      </w:pPr>
      <w:r>
        <w:rPr>
          <w:rFonts w:hint="eastAsia"/>
          <w:b/>
          <w:bCs/>
          <w:sz w:val="44"/>
          <w:szCs w:val="44"/>
        </w:rPr>
        <w:t>第四部分  参评文件格式</w:t>
      </w:r>
    </w:p>
    <w:p>
      <w:pPr>
        <w:adjustRightInd w:val="0"/>
        <w:snapToGrid w:val="0"/>
        <w:spacing w:line="560" w:lineRule="exact"/>
        <w:rPr>
          <w:rFonts w:ascii="仿宋_GB2312" w:eastAsia="仿宋_GB2312"/>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spacing w:line="560" w:lineRule="exact"/>
        <w:jc w:val="center"/>
        <w:rPr>
          <w:b/>
          <w:spacing w:val="100"/>
          <w:w w:val="110"/>
          <w:sz w:val="32"/>
          <w:szCs w:val="32"/>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44"/>
          <w:szCs w:val="44"/>
        </w:rPr>
      </w:pPr>
    </w:p>
    <w:p>
      <w:pPr>
        <w:pStyle w:val="17"/>
        <w:jc w:val="center"/>
        <w:rPr>
          <w:rFonts w:ascii="Times New Roman" w:hAnsi="Times New Roman"/>
          <w:b/>
          <w:sz w:val="96"/>
          <w:szCs w:val="96"/>
        </w:rPr>
      </w:pPr>
    </w:p>
    <w:p>
      <w:pPr>
        <w:pStyle w:val="17"/>
        <w:jc w:val="center"/>
        <w:rPr>
          <w:rFonts w:ascii="Times New Roman" w:hAnsi="Times New Roman"/>
          <w:b/>
          <w:sz w:val="96"/>
          <w:szCs w:val="96"/>
        </w:rPr>
      </w:pPr>
    </w:p>
    <w:p>
      <w:pPr>
        <w:pStyle w:val="17"/>
        <w:jc w:val="center"/>
        <w:rPr>
          <w:rFonts w:ascii="Times New Roman" w:hAnsi="Times New Roman"/>
          <w:b/>
          <w:sz w:val="44"/>
          <w:szCs w:val="44"/>
        </w:rPr>
      </w:pPr>
      <w:r>
        <w:rPr>
          <w:rFonts w:hint="eastAsia" w:ascii="Times New Roman" w:hAnsi="Times New Roman"/>
          <w:b/>
          <w:sz w:val="96"/>
          <w:szCs w:val="96"/>
        </w:rPr>
        <w:t>参 评 文 件</w:t>
      </w:r>
    </w:p>
    <w:p>
      <w:pPr>
        <w:pStyle w:val="17"/>
        <w:spacing w:line="560" w:lineRule="exact"/>
        <w:jc w:val="center"/>
        <w:rPr>
          <w:rFonts w:ascii="Times New Roman" w:hAnsi="Times New Roman"/>
          <w:b/>
          <w:sz w:val="32"/>
          <w:szCs w:val="32"/>
        </w:rPr>
      </w:pPr>
    </w:p>
    <w:p>
      <w:pPr>
        <w:pStyle w:val="17"/>
        <w:spacing w:line="560" w:lineRule="exact"/>
        <w:jc w:val="center"/>
        <w:rPr>
          <w:rFonts w:ascii="Times New Roman" w:hAnsi="Times New Roman"/>
          <w:b/>
          <w:sz w:val="32"/>
          <w:szCs w:val="32"/>
        </w:rPr>
      </w:pPr>
    </w:p>
    <w:p>
      <w:pPr>
        <w:pStyle w:val="17"/>
        <w:spacing w:line="560" w:lineRule="exact"/>
        <w:rPr>
          <w:rFonts w:ascii="Times New Roman" w:hAnsi="Times New Roman"/>
          <w:b/>
          <w:sz w:val="32"/>
          <w:szCs w:val="32"/>
        </w:rPr>
      </w:pPr>
      <w:r>
        <w:rPr>
          <w:rFonts w:hint="eastAsia" w:ascii="Times New Roman" w:hAnsi="Times New Roman"/>
          <w:b/>
          <w:sz w:val="32"/>
          <w:szCs w:val="32"/>
        </w:rPr>
        <w:t xml:space="preserve"> </w:t>
      </w:r>
    </w:p>
    <w:p>
      <w:pPr>
        <w:pStyle w:val="17"/>
        <w:spacing w:line="560" w:lineRule="exact"/>
        <w:ind w:firstLine="1606" w:firstLineChars="500"/>
        <w:rPr>
          <w:rFonts w:hint="eastAsia" w:ascii="Times New Roman" w:hAnsi="Times New Roman"/>
          <w:b/>
          <w:sz w:val="32"/>
          <w:szCs w:val="32"/>
        </w:rPr>
      </w:pPr>
      <w:r>
        <w:rPr>
          <w:rFonts w:hint="eastAsia" w:ascii="Times New Roman" w:hAnsi="Times New Roman"/>
          <w:b/>
          <w:sz w:val="32"/>
          <w:szCs w:val="32"/>
        </w:rPr>
        <w:t>项目名称：中山市公共交通运输集团有限公司</w:t>
      </w:r>
    </w:p>
    <w:p>
      <w:pPr>
        <w:pStyle w:val="17"/>
        <w:spacing w:line="560" w:lineRule="exact"/>
        <w:ind w:firstLine="3213" w:firstLineChars="1000"/>
        <w:rPr>
          <w:rFonts w:hint="eastAsia" w:ascii="Times New Roman" w:hAnsi="Times New Roman" w:eastAsia="宋体"/>
          <w:b/>
          <w:sz w:val="32"/>
          <w:szCs w:val="32"/>
        </w:rPr>
      </w:pPr>
      <w:r>
        <w:rPr>
          <w:rFonts w:hint="eastAsia" w:ascii="Times New Roman" w:hAnsi="Times New Roman" w:eastAsia="宋体"/>
          <w:b/>
          <w:sz w:val="32"/>
          <w:szCs w:val="32"/>
          <w:lang w:val="en-US" w:eastAsia="zh-CN"/>
        </w:rPr>
        <w:t>深中跨市公交售票系统采购</w:t>
      </w:r>
      <w:r>
        <w:rPr>
          <w:rFonts w:hint="eastAsia" w:ascii="Times New Roman" w:hAnsi="Times New Roman" w:eastAsia="宋体"/>
          <w:b/>
          <w:sz w:val="32"/>
          <w:szCs w:val="32"/>
        </w:rPr>
        <w:t>项目</w:t>
      </w:r>
    </w:p>
    <w:p>
      <w:pPr>
        <w:pStyle w:val="17"/>
        <w:spacing w:line="560" w:lineRule="exact"/>
        <w:ind w:firstLine="1606" w:firstLineChars="500"/>
        <w:rPr>
          <w:rFonts w:ascii="Times New Roman" w:hAnsi="Times New Roman"/>
          <w:b/>
          <w:sz w:val="32"/>
          <w:szCs w:val="32"/>
        </w:rPr>
      </w:pPr>
      <w:r>
        <w:rPr>
          <w:rFonts w:hint="eastAsia" w:ascii="Times New Roman" w:hAnsi="Times New Roman"/>
          <w:b/>
          <w:sz w:val="32"/>
          <w:szCs w:val="32"/>
        </w:rPr>
        <w:t xml:space="preserve">参评供应商名称（盖章）：     </w:t>
      </w:r>
    </w:p>
    <w:p>
      <w:pPr>
        <w:pStyle w:val="17"/>
        <w:spacing w:line="560" w:lineRule="exact"/>
        <w:ind w:firstLine="1754" w:firstLineChars="546"/>
        <w:rPr>
          <w:rFonts w:ascii="Times New Roman" w:hAnsi="Times New Roman"/>
          <w:b/>
          <w:sz w:val="32"/>
          <w:szCs w:val="32"/>
        </w:rPr>
      </w:pPr>
    </w:p>
    <w:p>
      <w:pPr>
        <w:pStyle w:val="17"/>
        <w:spacing w:line="560" w:lineRule="exact"/>
        <w:ind w:firstLine="1606" w:firstLineChars="500"/>
        <w:rPr>
          <w:rFonts w:ascii="Times New Roman" w:hAnsi="Times New Roman"/>
          <w:b/>
          <w:sz w:val="32"/>
          <w:szCs w:val="32"/>
        </w:rPr>
      </w:pPr>
      <w:r>
        <w:rPr>
          <w:rFonts w:hint="eastAsia" w:ascii="Times New Roman" w:hAnsi="Times New Roman"/>
          <w:b/>
          <w:sz w:val="32"/>
          <w:szCs w:val="32"/>
        </w:rPr>
        <w:t xml:space="preserve">日    期：             </w:t>
      </w:r>
    </w:p>
    <w:p>
      <w:pPr>
        <w:adjustRightInd w:val="0"/>
        <w:snapToGrid w:val="0"/>
        <w:spacing w:line="560" w:lineRule="exact"/>
        <w:rPr>
          <w:rFonts w:ascii="宋体" w:hAnsi="宋体"/>
          <w:b/>
          <w:bCs/>
          <w:sz w:val="24"/>
        </w:rPr>
      </w:pPr>
    </w:p>
    <w:p>
      <w:pPr>
        <w:pStyle w:val="2"/>
        <w:ind w:firstLine="241"/>
        <w:rPr>
          <w:rFonts w:ascii="宋体" w:hAnsi="宋体"/>
          <w:b/>
          <w:bCs/>
          <w:sz w:val="24"/>
        </w:rPr>
      </w:pPr>
    </w:p>
    <w:p>
      <w:pPr>
        <w:rPr>
          <w:rFonts w:ascii="宋体" w:hAnsi="宋体"/>
          <w:b/>
          <w:bCs/>
          <w:sz w:val="24"/>
        </w:rPr>
      </w:pPr>
    </w:p>
    <w:p>
      <w:pPr>
        <w:pStyle w:val="2"/>
        <w:ind w:firstLine="241"/>
        <w:rPr>
          <w:rFonts w:ascii="宋体" w:hAnsi="宋体"/>
          <w:b/>
          <w:bCs/>
          <w:sz w:val="24"/>
        </w:rPr>
      </w:pPr>
    </w:p>
    <w:p>
      <w:pPr>
        <w:rPr>
          <w:rFonts w:ascii="宋体" w:hAnsi="宋体"/>
          <w:b/>
          <w:bCs/>
          <w:sz w:val="24"/>
        </w:rPr>
      </w:pPr>
    </w:p>
    <w:p>
      <w:pPr>
        <w:pStyle w:val="2"/>
        <w:ind w:firstLine="241"/>
        <w:rPr>
          <w:rFonts w:ascii="宋体" w:hAnsi="宋体"/>
          <w:b/>
          <w:bCs/>
          <w:sz w:val="24"/>
        </w:rPr>
      </w:pPr>
    </w:p>
    <w:p>
      <w:pPr>
        <w:rPr>
          <w:rFonts w:ascii="宋体" w:hAnsi="宋体"/>
          <w:b/>
          <w:bCs/>
          <w:sz w:val="24"/>
        </w:rPr>
      </w:pPr>
    </w:p>
    <w:p>
      <w:pPr>
        <w:pStyle w:val="2"/>
        <w:ind w:firstLine="241"/>
        <w:rPr>
          <w:rFonts w:ascii="宋体" w:hAnsi="宋体"/>
          <w:b/>
          <w:bCs/>
          <w:sz w:val="24"/>
        </w:rPr>
      </w:pPr>
    </w:p>
    <w:p>
      <w:pPr>
        <w:rPr>
          <w:rFonts w:ascii="宋体" w:hAnsi="宋体"/>
          <w:b/>
          <w:bCs/>
          <w:sz w:val="24"/>
        </w:rPr>
      </w:pPr>
    </w:p>
    <w:p>
      <w:pPr>
        <w:pStyle w:val="2"/>
        <w:ind w:firstLine="210"/>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格式1 承诺函</w:t>
      </w: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承 诺 函</w:t>
      </w:r>
    </w:p>
    <w:p>
      <w:pPr>
        <w:tabs>
          <w:tab w:val="left" w:pos="900"/>
        </w:tabs>
        <w:spacing w:line="500" w:lineRule="exact"/>
        <w:rPr>
          <w:rFonts w:ascii="宋体" w:hAnsi="宋体" w:cs="宋体"/>
          <w:bCs/>
          <w:sz w:val="24"/>
        </w:rPr>
      </w:pPr>
      <w:r>
        <w:rPr>
          <w:rFonts w:hint="eastAsia" w:ascii="宋体" w:hAnsi="宋体" w:cs="宋体"/>
          <w:sz w:val="24"/>
        </w:rPr>
        <w:t>中山市公共交通运输集团有限公司</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我方确认收到</w:t>
      </w:r>
      <w:r>
        <w:rPr>
          <w:rFonts w:hint="eastAsia" w:ascii="宋体" w:hAnsi="宋体" w:cs="宋体"/>
          <w:bCs/>
          <w:sz w:val="24"/>
          <w:u w:val="single"/>
        </w:rPr>
        <w:t>《中山市公共交通运输集团有限公司</w:t>
      </w:r>
      <w:r>
        <w:rPr>
          <w:rFonts w:hint="eastAsia" w:ascii="宋体" w:hAnsi="宋体" w:cs="宋体"/>
          <w:spacing w:val="20"/>
          <w:sz w:val="24"/>
          <w:u w:val="single"/>
          <w:lang w:val="en-US" w:eastAsia="zh-CN"/>
        </w:rPr>
        <w:t>深中跨市公交售票系统采购</w:t>
      </w:r>
      <w:r>
        <w:rPr>
          <w:rFonts w:hint="eastAsia" w:ascii="宋体" w:hAnsi="宋体" w:cs="宋体"/>
          <w:sz w:val="24"/>
          <w:u w:val="single"/>
        </w:rPr>
        <w:t>项目</w:t>
      </w:r>
      <w:r>
        <w:rPr>
          <w:rFonts w:hint="eastAsia" w:ascii="宋体" w:hAnsi="宋体" w:cs="宋体"/>
          <w:bCs/>
          <w:sz w:val="24"/>
          <w:u w:val="single"/>
        </w:rPr>
        <w:t>》</w:t>
      </w:r>
      <w:r>
        <w:rPr>
          <w:rFonts w:hint="eastAsia" w:ascii="宋体" w:hAnsi="宋体" w:cs="宋体"/>
          <w:bCs/>
          <w:sz w:val="24"/>
        </w:rPr>
        <w:t>采购文件，经详细研究，决定参加该项目评选，并作出如下承诺：</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1.同意并接受采购文件的各项要求，完全接受贵方设定的全部参数、配置、条款，满足采购文件中的各项需求（详见《需求响应表》），按采购文件的要求提供报价（详见报价表）。</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2.我方已详细研究采购文件的所有内容，包括修改文件(如有)和所有已收到的参考资料以及有关附件(如有)，并完全明白，不存在任何含糊不清和误解之处，同意放弃对这些文件提出异议和质疑的权利。</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3.我方同意按照贵方可能提出的要求而提供与参评有关的任何其它资料、数据或信息。</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4.我方保证，贵方在中华人民共和国使用该成果时，免受第三方提出的侵犯其专利权、商标权、著作权或其它知识产权的起诉。</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5.我方承诺在本次参评文件中提供的一切文件，无论是原件还是复印件均为真实和准确的，绝无任何虚假、伪造和夸大的成份，并随时接受贵方核实查验，否则，愿承担相应的后果和法律责任。</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6.我方为</w:t>
      </w:r>
      <w:r>
        <w:rPr>
          <w:rFonts w:hint="eastAsia" w:ascii="宋体" w:hAnsi="宋体" w:cs="宋体"/>
          <w:bCs/>
          <w:sz w:val="24"/>
          <w:lang w:val="zh-CN"/>
        </w:rPr>
        <w:t>具有</w:t>
      </w:r>
      <w:r>
        <w:rPr>
          <w:rFonts w:hint="eastAsia" w:ascii="宋体" w:hAnsi="宋体" w:cs="宋体"/>
          <w:bCs/>
          <w:sz w:val="24"/>
        </w:rPr>
        <w:t>独立</w:t>
      </w:r>
      <w:r>
        <w:rPr>
          <w:rFonts w:hint="eastAsia" w:ascii="宋体" w:hAnsi="宋体" w:cs="宋体"/>
          <w:bCs/>
          <w:sz w:val="24"/>
          <w:lang w:val="zh-CN"/>
        </w:rPr>
        <w:t>承担民事责任能力的在中华人民共和国境内注册的企业法人或其他社会组织，并独立于</w:t>
      </w:r>
      <w:r>
        <w:rPr>
          <w:rFonts w:hint="eastAsia" w:ascii="宋体" w:hAnsi="宋体" w:cs="宋体"/>
          <w:bCs/>
          <w:sz w:val="24"/>
        </w:rPr>
        <w:t>贵方，且</w:t>
      </w:r>
      <w:r>
        <w:rPr>
          <w:rFonts w:hint="eastAsia" w:ascii="宋体" w:hAnsi="宋体" w:cs="宋体"/>
          <w:b/>
          <w:sz w:val="24"/>
        </w:rPr>
        <w:t>非联合体参评报价</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7.我方如果中选，将按照贵方采购文件及其修改文件（如有）的要求及我方参评承诺，按质、按量、按期履行全部责任和义务，且</w:t>
      </w:r>
      <w:r>
        <w:rPr>
          <w:rFonts w:hint="eastAsia" w:ascii="宋体" w:hAnsi="宋体" w:cs="宋体"/>
          <w:b/>
          <w:sz w:val="24"/>
        </w:rPr>
        <w:t>不会以任何方式转包或分包本项目</w:t>
      </w:r>
      <w:r>
        <w:rPr>
          <w:rFonts w:hint="eastAsia" w:ascii="宋体" w:hAnsi="宋体" w:cs="宋体"/>
          <w:bCs/>
          <w:sz w:val="24"/>
        </w:rPr>
        <w:t>。</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8.参评文件有效期：报名截止之日后</w:t>
      </w:r>
      <w:r>
        <w:rPr>
          <w:rFonts w:hint="eastAsia" w:ascii="宋体" w:hAnsi="宋体" w:cs="宋体"/>
          <w:bCs/>
          <w:sz w:val="24"/>
          <w:lang w:val="en-US" w:eastAsia="zh-CN"/>
        </w:rPr>
        <w:t>3</w:t>
      </w:r>
      <w:r>
        <w:rPr>
          <w:rFonts w:hint="eastAsia" w:ascii="宋体" w:hAnsi="宋体" w:cs="宋体"/>
          <w:bCs/>
          <w:sz w:val="24"/>
        </w:rPr>
        <w:t>0天内有效。</w:t>
      </w:r>
    </w:p>
    <w:p>
      <w:pPr>
        <w:tabs>
          <w:tab w:val="left" w:pos="900"/>
        </w:tabs>
        <w:spacing w:line="500" w:lineRule="exact"/>
        <w:ind w:firstLine="480" w:firstLineChars="200"/>
        <w:rPr>
          <w:rFonts w:ascii="宋体" w:hAnsi="宋体" w:cs="宋体"/>
          <w:bCs/>
          <w:sz w:val="24"/>
        </w:rPr>
      </w:pP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参评供应商（盖章）：</w:t>
      </w:r>
    </w:p>
    <w:p>
      <w:pPr>
        <w:tabs>
          <w:tab w:val="left" w:pos="900"/>
        </w:tabs>
        <w:spacing w:line="500" w:lineRule="exact"/>
        <w:ind w:firstLine="480" w:firstLineChars="200"/>
        <w:rPr>
          <w:rFonts w:ascii="宋体" w:hAnsi="宋体" w:cs="宋体"/>
          <w:bCs/>
          <w:sz w:val="24"/>
        </w:rPr>
      </w:pPr>
      <w:r>
        <w:rPr>
          <w:rFonts w:hint="eastAsia" w:ascii="宋体" w:hAnsi="宋体" w:cs="宋体"/>
          <w:bCs/>
          <w:sz w:val="24"/>
        </w:rPr>
        <w:t xml:space="preserve">地址： </w:t>
      </w:r>
    </w:p>
    <w:p>
      <w:pPr>
        <w:adjustRightInd w:val="0"/>
        <w:snapToGrid w:val="0"/>
        <w:spacing w:line="560" w:lineRule="exact"/>
        <w:ind w:firstLine="480" w:firstLineChars="200"/>
        <w:rPr>
          <w:rFonts w:ascii="宋体" w:hAnsi="宋体"/>
          <w:b/>
          <w:bCs/>
          <w:sz w:val="24"/>
        </w:rPr>
      </w:pPr>
      <w:r>
        <w:rPr>
          <w:rFonts w:hint="eastAsia" w:ascii="宋体" w:hAnsi="宋体" w:cs="宋体"/>
          <w:bCs/>
          <w:sz w:val="24"/>
        </w:rPr>
        <w:t>日期：</w:t>
      </w: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格式2 法定代表人授权委托书及</w:t>
      </w:r>
      <w:r>
        <w:rPr>
          <w:rFonts w:ascii="宋体" w:hAnsi="宋体"/>
          <w:b/>
          <w:bCs/>
          <w:sz w:val="24"/>
        </w:rPr>
        <w:t>法人代表证明书</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法定代表人授权委托书</w:t>
      </w:r>
    </w:p>
    <w:p>
      <w:pPr>
        <w:tabs>
          <w:tab w:val="left" w:pos="900"/>
        </w:tabs>
        <w:spacing w:line="560" w:lineRule="exact"/>
        <w:rPr>
          <w:rFonts w:ascii="仿宋_GB2312" w:eastAsia="仿宋_GB2312"/>
          <w:bCs/>
          <w:sz w:val="24"/>
        </w:rPr>
      </w:pPr>
    </w:p>
    <w:p>
      <w:pPr>
        <w:adjustRightInd w:val="0"/>
        <w:snapToGrid w:val="0"/>
        <w:spacing w:line="560" w:lineRule="exact"/>
        <w:rPr>
          <w:rFonts w:ascii="宋体" w:hAnsi="宋体" w:cs="宋体"/>
          <w:bCs/>
          <w:sz w:val="24"/>
        </w:rPr>
      </w:pPr>
      <w:r>
        <w:rPr>
          <w:rFonts w:hint="eastAsia" w:ascii="宋体" w:hAnsi="宋体" w:cs="宋体"/>
          <w:bCs/>
          <w:sz w:val="24"/>
        </w:rPr>
        <w:t>致：中山市公共交通运输集团有限公司：</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兹授权</w:t>
      </w:r>
      <w:r>
        <w:rPr>
          <w:rFonts w:hint="eastAsia" w:ascii="宋体" w:hAnsi="宋体" w:cs="宋体"/>
          <w:bCs/>
          <w:sz w:val="24"/>
          <w:u w:val="single"/>
        </w:rPr>
        <w:t xml:space="preserve">          </w:t>
      </w:r>
      <w:r>
        <w:rPr>
          <w:rFonts w:hint="eastAsia" w:ascii="宋体" w:hAnsi="宋体" w:cs="宋体"/>
          <w:bCs/>
          <w:sz w:val="24"/>
        </w:rPr>
        <w:t>同志，为我方全权代表，全权参与贵方“中山市公共交通运输集团有限</w:t>
      </w:r>
      <w:r>
        <w:rPr>
          <w:rFonts w:hint="eastAsia" w:ascii="宋体" w:hAnsi="宋体" w:cs="宋体"/>
          <w:bCs/>
          <w:sz w:val="24"/>
          <w:u w:val="none"/>
        </w:rPr>
        <w:t>公司</w:t>
      </w:r>
      <w:r>
        <w:rPr>
          <w:rFonts w:hint="eastAsia" w:ascii="宋体" w:hAnsi="宋体" w:cs="宋体"/>
          <w:spacing w:val="20"/>
          <w:sz w:val="24"/>
          <w:u w:val="none"/>
          <w:lang w:val="en-US" w:eastAsia="zh-CN"/>
        </w:rPr>
        <w:t>深中跨市公交售票系统采购</w:t>
      </w:r>
      <w:r>
        <w:rPr>
          <w:rFonts w:hint="eastAsia" w:ascii="宋体" w:hAnsi="宋体" w:cs="宋体"/>
          <w:sz w:val="24"/>
          <w:u w:val="none"/>
        </w:rPr>
        <w:t>项目</w:t>
      </w:r>
      <w:r>
        <w:rPr>
          <w:rFonts w:hint="eastAsia" w:ascii="宋体" w:hAnsi="宋体" w:cs="宋体"/>
          <w:bCs/>
          <w:sz w:val="24"/>
        </w:rPr>
        <w:t>”</w:t>
      </w:r>
      <w:r>
        <w:rPr>
          <w:rFonts w:hint="eastAsia" w:ascii="宋体" w:hAnsi="宋体" w:cs="宋体"/>
          <w:sz w:val="24"/>
          <w:szCs w:val="20"/>
        </w:rPr>
        <w:t>的参评、</w:t>
      </w:r>
      <w:r>
        <w:rPr>
          <w:rFonts w:hint="eastAsia" w:ascii="宋体" w:hAnsi="宋体" w:cs="宋体"/>
          <w:bCs/>
          <w:sz w:val="24"/>
        </w:rPr>
        <w:t>提供与签署确认文书资料等一切事宜。</w:t>
      </w:r>
    </w:p>
    <w:p>
      <w:pPr>
        <w:adjustRightInd w:val="0"/>
        <w:snapToGrid w:val="0"/>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签发日期：</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有效期：响应截止之日起</w:t>
      </w:r>
      <w:r>
        <w:rPr>
          <w:rFonts w:hint="eastAsia" w:ascii="宋体" w:hAnsi="宋体" w:cs="宋体"/>
          <w:bCs/>
          <w:sz w:val="24"/>
          <w:lang w:val="en-US" w:eastAsia="zh-CN"/>
        </w:rPr>
        <w:t>3</w:t>
      </w:r>
      <w:r>
        <w:rPr>
          <w:rFonts w:hint="eastAsia" w:ascii="宋体" w:hAnsi="宋体" w:cs="宋体"/>
          <w:bCs/>
          <w:sz w:val="24"/>
        </w:rPr>
        <w:t>0日内有效。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附：被授权代表</w:t>
      </w:r>
      <w:r>
        <w:rPr>
          <w:rFonts w:hint="eastAsia" w:ascii="宋体" w:hAnsi="宋体" w:cs="宋体"/>
          <w:bCs/>
          <w:sz w:val="24"/>
          <w:lang w:eastAsia="zh-CN"/>
        </w:rPr>
        <w:t>（</w:t>
      </w:r>
      <w:r>
        <w:rPr>
          <w:rFonts w:hint="eastAsia" w:ascii="宋体" w:hAnsi="宋体" w:cs="宋体"/>
          <w:bCs/>
          <w:sz w:val="24"/>
          <w:lang w:val="en-US" w:eastAsia="zh-CN"/>
        </w:rPr>
        <w:t>签名</w:t>
      </w:r>
      <w:r>
        <w:rPr>
          <w:rFonts w:hint="eastAsia" w:ascii="宋体" w:hAnsi="宋体" w:cs="宋体"/>
          <w:bCs/>
          <w:sz w:val="24"/>
          <w:lang w:eastAsia="zh-CN"/>
        </w:rPr>
        <w:t>）</w:t>
      </w:r>
      <w:r>
        <w:rPr>
          <w:rFonts w:hint="eastAsia" w:ascii="宋体" w:hAnsi="宋体" w:cs="宋体"/>
          <w:bCs/>
          <w:sz w:val="24"/>
        </w:rPr>
        <w:t>：</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身份证号码：</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联系电话：</w:t>
      </w:r>
    </w:p>
    <w:p>
      <w:pPr>
        <w:adjustRightInd w:val="0"/>
        <w:snapToGrid w:val="0"/>
        <w:spacing w:line="560" w:lineRule="exact"/>
        <w:ind w:firstLine="960" w:firstLineChars="400"/>
        <w:rPr>
          <w:rFonts w:ascii="宋体" w:hAnsi="宋体" w:cs="宋体"/>
          <w:bCs/>
          <w:sz w:val="24"/>
        </w:rPr>
      </w:pPr>
      <w:r>
        <w:rPr>
          <w:rFonts w:hint="eastAsia" w:ascii="宋体" w:hAnsi="宋体" w:cs="宋体"/>
          <w:bCs/>
          <w:sz w:val="24"/>
        </w:rPr>
        <w:t>联系邮箱：</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授权有效期限：与本公司参评文件中标注的有效期相同，自本单位盖公章之日起生效。</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参评签名代表为法定代表人</w:t>
      </w:r>
      <w:r>
        <w:rPr>
          <w:rFonts w:hint="eastAsia" w:ascii="宋体" w:hAnsi="宋体" w:cs="宋体"/>
          <w:bCs/>
          <w:sz w:val="24"/>
          <w:lang w:val="en-US" w:eastAsia="zh-CN"/>
        </w:rPr>
        <w:t>/负责人</w:t>
      </w:r>
      <w:r>
        <w:rPr>
          <w:rFonts w:hint="eastAsia" w:ascii="宋体" w:hAnsi="宋体" w:cs="宋体"/>
          <w:bCs/>
          <w:sz w:val="24"/>
        </w:rPr>
        <w:t>，则本委托书不适用。</w:t>
      </w:r>
    </w:p>
    <w:p>
      <w:pPr>
        <w:adjustRightInd w:val="0"/>
        <w:snapToGrid w:val="0"/>
        <w:spacing w:line="560" w:lineRule="exact"/>
        <w:ind w:firstLine="480" w:firstLineChars="200"/>
        <w:rPr>
          <w:rFonts w:ascii="宋体" w:hAnsi="宋体" w:cs="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1312;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tabs>
          <w:tab w:val="left" w:pos="900"/>
        </w:tabs>
        <w:spacing w:line="560" w:lineRule="exact"/>
        <w:rPr>
          <w:rFonts w:ascii="宋体" w:hAnsi="宋体" w:cs="仿宋_GB2312"/>
          <w:b/>
          <w:sz w:val="44"/>
          <w:szCs w:val="44"/>
        </w:rPr>
      </w:pPr>
    </w:p>
    <w:p>
      <w:pPr>
        <w:tabs>
          <w:tab w:val="left" w:pos="900"/>
        </w:tabs>
        <w:spacing w:line="560" w:lineRule="exact"/>
        <w:rPr>
          <w:rFonts w:ascii="宋体" w:hAnsi="宋体" w:cs="仿宋_GB2312"/>
          <w:b/>
          <w:sz w:val="44"/>
          <w:szCs w:val="4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法定代表人证明书</w:t>
      </w:r>
    </w:p>
    <w:p>
      <w:pPr>
        <w:tabs>
          <w:tab w:val="left" w:pos="900"/>
        </w:tabs>
        <w:spacing w:line="560" w:lineRule="exact"/>
        <w:rPr>
          <w:rFonts w:ascii="仿宋_GB2312" w:eastAsia="仿宋_GB2312"/>
          <w:bCs/>
          <w:sz w:val="24"/>
        </w:rPr>
      </w:pPr>
    </w:p>
    <w:p>
      <w:pPr>
        <w:adjustRightInd w:val="0"/>
        <w:snapToGrid w:val="0"/>
        <w:spacing w:line="560" w:lineRule="exact"/>
        <w:ind w:firstLine="960" w:firstLineChars="400"/>
        <w:rPr>
          <w:rFonts w:ascii="宋体" w:hAnsi="宋体" w:cs="宋体"/>
          <w:bCs/>
          <w:sz w:val="24"/>
        </w:rPr>
      </w:pPr>
      <w:r>
        <w:rPr>
          <w:rFonts w:hint="eastAsia" w:ascii="宋体" w:hAnsi="宋体" w:cs="宋体"/>
          <w:sz w:val="24"/>
        </w:rPr>
        <w:t>______________</w:t>
      </w:r>
      <w:r>
        <w:rPr>
          <w:rFonts w:hint="eastAsia" w:ascii="宋体" w:hAnsi="宋体" w:cs="宋体"/>
          <w:bCs/>
          <w:sz w:val="24"/>
        </w:rPr>
        <w:t>同志，现任我单位职务</w:t>
      </w:r>
      <w:r>
        <w:rPr>
          <w:rFonts w:hint="eastAsia" w:ascii="宋体" w:hAnsi="宋体" w:cs="宋体"/>
          <w:sz w:val="24"/>
        </w:rPr>
        <w:t>______________</w:t>
      </w:r>
      <w:r>
        <w:rPr>
          <w:rFonts w:hint="eastAsia" w:ascii="宋体" w:hAnsi="宋体" w:cs="宋体"/>
          <w:bCs/>
          <w:sz w:val="24"/>
        </w:rPr>
        <w:t>，为法定代表人/负责人，特此证明。</w:t>
      </w:r>
    </w:p>
    <w:p>
      <w:pPr>
        <w:adjustRightInd w:val="0"/>
        <w:snapToGrid w:val="0"/>
        <w:spacing w:line="560" w:lineRule="exact"/>
        <w:ind w:firstLine="480" w:firstLineChars="200"/>
        <w:rPr>
          <w:rFonts w:ascii="宋体" w:hAnsi="宋体" w:cs="宋体"/>
          <w:bCs/>
          <w:sz w:val="24"/>
        </w:rPr>
      </w:pPr>
      <w:r>
        <w:rPr>
          <w:rFonts w:hint="eastAsia" w:ascii="宋体" w:hAnsi="宋体" w:cs="宋体"/>
          <w:bCs/>
          <w:sz w:val="24"/>
        </w:rPr>
        <w:t>有效日期与本公司参评文件中标注的有效期相同。</w:t>
      </w:r>
    </w:p>
    <w:p>
      <w:pPr>
        <w:adjustRightInd w:val="0"/>
        <w:snapToGrid w:val="0"/>
        <w:spacing w:line="560" w:lineRule="exact"/>
        <w:ind w:firstLine="960" w:firstLineChars="400"/>
        <w:rPr>
          <w:rFonts w:ascii="宋体" w:hAnsi="宋体" w:cs="宋体"/>
          <w:bCs/>
          <w:sz w:val="24"/>
        </w:rPr>
      </w:pPr>
    </w:p>
    <w:p>
      <w:pPr>
        <w:tabs>
          <w:tab w:val="left" w:pos="900"/>
        </w:tabs>
        <w:spacing w:line="560" w:lineRule="exact"/>
        <w:ind w:firstLine="480" w:firstLineChars="200"/>
        <w:rPr>
          <w:rFonts w:ascii="宋体" w:hAnsi="宋体" w:cs="宋体"/>
          <w:bCs/>
          <w:sz w:val="24"/>
        </w:rPr>
      </w:pP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参评</w:t>
      </w:r>
      <w:r>
        <w:rPr>
          <w:rFonts w:hint="eastAsia" w:ascii="宋体" w:hAnsi="宋体" w:cs="宋体"/>
          <w:bCs/>
          <w:sz w:val="24"/>
          <w:lang w:eastAsia="zh-CN"/>
        </w:rPr>
        <w:t>供应</w:t>
      </w:r>
      <w:r>
        <w:rPr>
          <w:rFonts w:hint="eastAsia" w:ascii="宋体" w:hAnsi="宋体" w:cs="宋体"/>
          <w:bCs/>
          <w:sz w:val="24"/>
        </w:rPr>
        <w:t>商（盖章）：</w:t>
      </w:r>
    </w:p>
    <w:p>
      <w:pPr>
        <w:tabs>
          <w:tab w:val="left" w:pos="900"/>
        </w:tabs>
        <w:spacing w:line="560" w:lineRule="exact"/>
        <w:ind w:firstLine="480" w:firstLineChars="200"/>
        <w:rPr>
          <w:rFonts w:ascii="宋体" w:hAnsi="宋体" w:cs="宋体"/>
          <w:bCs/>
          <w:sz w:val="24"/>
        </w:rPr>
      </w:pPr>
      <w:r>
        <w:rPr>
          <w:rFonts w:hint="eastAsia" w:ascii="宋体" w:hAnsi="宋体" w:cs="宋体"/>
          <w:bCs/>
          <w:sz w:val="24"/>
        </w:rPr>
        <w:t>签发日期：   年   月    日</w:t>
      </w:r>
    </w:p>
    <w:p>
      <w:pPr>
        <w:adjustRightInd w:val="0"/>
        <w:snapToGrid w:val="0"/>
        <w:spacing w:line="560" w:lineRule="exact"/>
        <w:rPr>
          <w:rFonts w:ascii="宋体" w:hAnsi="宋体" w:cs="宋体"/>
          <w:bCs/>
          <w:sz w:val="24"/>
        </w:rPr>
      </w:pPr>
    </w:p>
    <w:p>
      <w:pPr>
        <w:adjustRightInd w:val="0"/>
        <w:snapToGrid w:val="0"/>
        <w:spacing w:line="560" w:lineRule="exact"/>
        <w:ind w:firstLine="480" w:firstLineChars="200"/>
        <w:rPr>
          <w:rFonts w:ascii="宋体" w:hAnsi="宋体"/>
          <w:bCs/>
          <w:sz w:val="24"/>
        </w:rPr>
      </w:pPr>
    </w:p>
    <w:p>
      <w:pPr>
        <w:widowControl/>
        <w:shd w:val="clear" w:color="auto" w:fill="FFFFFF"/>
        <w:spacing w:line="560" w:lineRule="exact"/>
        <w:ind w:firstLine="420" w:firstLineChars="200"/>
        <w:rPr>
          <w:rFonts w:ascii="宋体"/>
          <w:kern w:val="0"/>
          <w:szCs w:val="21"/>
        </w:rPr>
      </w:pPr>
      <w: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2336;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20" w:firstLineChars="200"/>
        <w:rPr>
          <w:rFonts w:ascii="宋体"/>
          <w:kern w:val="0"/>
          <w:szCs w:val="21"/>
        </w:rPr>
      </w:pPr>
    </w:p>
    <w:p>
      <w:pPr>
        <w:widowControl/>
        <w:shd w:val="clear" w:color="auto" w:fill="FFFFFF"/>
        <w:spacing w:line="560" w:lineRule="exact"/>
        <w:ind w:firstLine="480" w:firstLineChars="200"/>
        <w:rPr>
          <w:rFonts w:ascii="仿宋_GB2312" w:eastAsia="仿宋_GB2312"/>
          <w:bCs/>
          <w:sz w:val="24"/>
        </w:rPr>
      </w:pPr>
    </w:p>
    <w:p>
      <w:pPr>
        <w:spacing w:line="560" w:lineRule="exact"/>
        <w:rPr>
          <w:rFonts w:ascii="仿宋_GB2312" w:eastAsia="仿宋_GB2312"/>
          <w:bCs/>
          <w:sz w:val="24"/>
        </w:rPr>
      </w:pPr>
    </w:p>
    <w:p>
      <w:pPr>
        <w:spacing w:line="560" w:lineRule="exact"/>
        <w:rPr>
          <w:rFonts w:ascii="宋体" w:hAnsi="宋体"/>
          <w:bCs/>
          <w:sz w:val="24"/>
        </w:rPr>
      </w:pPr>
      <w:r>
        <w:rPr>
          <w:rFonts w:hint="eastAsia" w:ascii="宋体" w:hAnsi="宋体"/>
          <w:bCs/>
          <w:sz w:val="24"/>
        </w:rPr>
        <w:t xml:space="preserve">                                           </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
          <w:bCs/>
          <w:sz w:val="24"/>
        </w:rPr>
      </w:pPr>
    </w:p>
    <w:p>
      <w:pPr>
        <w:pStyle w:val="2"/>
        <w:ind w:firstLine="241"/>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格式3 营业执照、资质证明等材料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rPr>
        <w:t>具有独立承</w:t>
      </w:r>
      <w:r>
        <w:rPr>
          <w:rFonts w:hint="eastAsia" w:ascii="宋体" w:hAnsi="宋体" w:eastAsia="宋体" w:cs="仿宋_GB2312"/>
          <w:b/>
          <w:sz w:val="44"/>
          <w:szCs w:val="44"/>
        </w:rPr>
        <w:t>担民事责任能力</w:t>
      </w:r>
      <w:r>
        <w:rPr>
          <w:rFonts w:hint="eastAsia" w:ascii="宋体" w:hAnsi="宋体" w:eastAsia="宋体" w:cs="仿宋_GB2312"/>
          <w:b/>
          <w:sz w:val="44"/>
          <w:szCs w:val="44"/>
          <w:lang w:val="en-US" w:eastAsia="zh-CN"/>
        </w:rPr>
        <w:t>及软件开发、信息系统集成</w:t>
      </w:r>
      <w:r>
        <w:rPr>
          <w:rFonts w:hint="eastAsia" w:ascii="宋体" w:hAnsi="宋体" w:eastAsia="宋体" w:cs="仿宋_GB2312"/>
          <w:b/>
          <w:sz w:val="44"/>
          <w:szCs w:val="44"/>
        </w:rPr>
        <w:t>等相关</w:t>
      </w:r>
      <w:r>
        <w:rPr>
          <w:rFonts w:hint="eastAsia" w:ascii="宋体" w:hAnsi="宋体" w:eastAsia="宋体" w:cs="仿宋_GB2312"/>
          <w:b/>
          <w:sz w:val="44"/>
          <w:szCs w:val="44"/>
          <w:lang w:val="en-US" w:eastAsia="zh-CN"/>
        </w:rPr>
        <w:t>经营范围</w:t>
      </w:r>
      <w:r>
        <w:rPr>
          <w:rFonts w:hint="eastAsia" w:ascii="宋体" w:hAnsi="宋体" w:eastAsia="宋体" w:cs="仿宋_GB2312"/>
          <w:b/>
          <w:sz w:val="44"/>
          <w:szCs w:val="44"/>
        </w:rPr>
        <w:t>的在中华人民共和</w:t>
      </w:r>
      <w:r>
        <w:rPr>
          <w:rFonts w:hint="eastAsia" w:ascii="宋体" w:hAnsi="宋体" w:cs="仿宋_GB2312"/>
          <w:b/>
          <w:sz w:val="44"/>
          <w:szCs w:val="44"/>
        </w:rPr>
        <w:t>国境内注册的企业法人或其他社会组织，提供营业执照（含经营范围）、资质证明等材料（盖章）</w:t>
      </w:r>
    </w:p>
    <w:p>
      <w:pPr>
        <w:adjustRightInd w:val="0"/>
        <w:snapToGrid w:val="0"/>
        <w:spacing w:line="560" w:lineRule="exact"/>
        <w:jc w:val="center"/>
        <w:rPr>
          <w:rFonts w:hint="eastAsia" w:ascii="宋体" w:hAnsi="宋体" w:cs="仿宋_GB2312"/>
          <w:b/>
          <w:sz w:val="44"/>
          <w:szCs w:val="44"/>
        </w:rPr>
      </w:pP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 xml:space="preserve">格式4 </w:t>
      </w:r>
      <w:r>
        <w:rPr>
          <w:rFonts w:hint="eastAsia" w:ascii="宋体" w:hAnsi="宋体"/>
          <w:b/>
          <w:bCs/>
          <w:sz w:val="24"/>
          <w:lang w:val="en-US" w:eastAsia="zh-CN"/>
        </w:rPr>
        <w:t>技术商务评分响应</w:t>
      </w:r>
      <w:r>
        <w:rPr>
          <w:rFonts w:hint="eastAsia" w:ascii="宋体" w:hAnsi="宋体"/>
          <w:b/>
          <w:bCs/>
          <w:sz w:val="24"/>
        </w:rPr>
        <w:t>资料</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lang w:val="en-US" w:eastAsia="zh-CN"/>
        </w:rPr>
        <w:t>提供技术商务评分响应资料/供应商认为需要</w:t>
      </w:r>
      <w:r>
        <w:rPr>
          <w:rFonts w:hint="eastAsia" w:ascii="宋体" w:hAnsi="宋体" w:cs="仿宋_GB2312"/>
          <w:b/>
          <w:sz w:val="44"/>
          <w:szCs w:val="44"/>
        </w:rPr>
        <w:t>提供</w:t>
      </w:r>
      <w:r>
        <w:rPr>
          <w:rFonts w:hint="eastAsia" w:ascii="宋体" w:hAnsi="宋体" w:cs="仿宋_GB2312"/>
          <w:b/>
          <w:sz w:val="44"/>
          <w:szCs w:val="44"/>
          <w:lang w:val="en-US" w:eastAsia="zh-CN"/>
        </w:rPr>
        <w:t>的其他技术商务资料和说明</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br w:type="page"/>
      </w:r>
      <w:r>
        <w:rPr>
          <w:rFonts w:hint="eastAsia" w:ascii="宋体" w:hAnsi="宋体"/>
          <w:b/>
          <w:bCs/>
          <w:sz w:val="24"/>
        </w:rPr>
        <w:t>格式</w:t>
      </w:r>
      <w:r>
        <w:rPr>
          <w:rFonts w:hint="eastAsia" w:ascii="宋体" w:hAnsi="宋体"/>
          <w:b/>
          <w:bCs/>
          <w:sz w:val="24"/>
          <w:lang w:val="en-US" w:eastAsia="zh-CN"/>
        </w:rPr>
        <w:t>5</w:t>
      </w:r>
      <w:r>
        <w:rPr>
          <w:rFonts w:hint="eastAsia" w:ascii="宋体" w:hAnsi="宋体"/>
          <w:b/>
          <w:bCs/>
          <w:sz w:val="24"/>
        </w:rPr>
        <w:t xml:space="preserve"> </w:t>
      </w:r>
      <w:r>
        <w:rPr>
          <w:rFonts w:hint="eastAsia" w:ascii="宋体" w:hAnsi="宋体"/>
          <w:b/>
          <w:bCs/>
          <w:sz w:val="24"/>
          <w:lang w:val="en-US" w:eastAsia="zh-CN"/>
        </w:rPr>
        <w:t>其他文件</w:t>
      </w:r>
    </w:p>
    <w:p>
      <w:pPr>
        <w:adjustRightInd w:val="0"/>
        <w:snapToGrid w:val="0"/>
        <w:spacing w:line="560" w:lineRule="exact"/>
        <w:ind w:firstLine="480" w:firstLineChars="200"/>
        <w:rPr>
          <w:rFonts w:ascii="仿宋_GB2312" w:eastAsia="仿宋_GB2312"/>
          <w:bCs/>
          <w:sz w:val="24"/>
        </w:rPr>
      </w:pPr>
    </w:p>
    <w:p>
      <w:pPr>
        <w:tabs>
          <w:tab w:val="left" w:pos="900"/>
        </w:tabs>
        <w:spacing w:line="560" w:lineRule="exact"/>
        <w:jc w:val="center"/>
        <w:rPr>
          <w:rFonts w:ascii="宋体" w:hAnsi="宋体" w:cs="仿宋_GB2312"/>
          <w:b/>
          <w:sz w:val="44"/>
          <w:szCs w:val="44"/>
        </w:rPr>
      </w:pPr>
      <w:r>
        <w:rPr>
          <w:rFonts w:hint="eastAsia" w:ascii="宋体" w:hAnsi="宋体" w:cs="仿宋_GB2312"/>
          <w:b/>
          <w:sz w:val="44"/>
          <w:szCs w:val="44"/>
          <w:lang w:val="en-US" w:eastAsia="zh-CN"/>
        </w:rPr>
        <w:t>供应商认为需要提供的其他资料</w:t>
      </w:r>
    </w:p>
    <w:p>
      <w:pPr>
        <w:adjustRightInd w:val="0"/>
        <w:snapToGrid w:val="0"/>
        <w:spacing w:line="560" w:lineRule="exact"/>
        <w:jc w:val="center"/>
        <w:rPr>
          <w:rFonts w:ascii="宋体" w:hAnsi="宋体"/>
          <w:b/>
          <w:bCs/>
          <w:sz w:val="24"/>
        </w:rPr>
      </w:pPr>
      <w:r>
        <w:rPr>
          <w:rFonts w:hint="eastAsia" w:ascii="宋体" w:hAnsi="宋体" w:cs="仿宋_GB2312"/>
          <w:b/>
          <w:sz w:val="44"/>
          <w:szCs w:val="44"/>
        </w:rPr>
        <w:t>（格式自拟）</w:t>
      </w: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hint="eastAsia" w:ascii="宋体" w:hAnsi="宋体"/>
          <w:b/>
          <w:bCs/>
          <w:sz w:val="24"/>
        </w:rPr>
      </w:pPr>
    </w:p>
    <w:p>
      <w:pPr>
        <w:adjustRightInd w:val="0"/>
        <w:snapToGrid w:val="0"/>
        <w:spacing w:line="560" w:lineRule="exact"/>
        <w:rPr>
          <w:rFonts w:ascii="宋体" w:hAnsi="宋体"/>
          <w:b/>
          <w:bCs/>
          <w:sz w:val="24"/>
        </w:rPr>
      </w:pPr>
      <w:r>
        <w:rPr>
          <w:rFonts w:hint="eastAsia" w:ascii="宋体" w:hAnsi="宋体"/>
          <w:b/>
          <w:bCs/>
          <w:sz w:val="24"/>
        </w:rPr>
        <w:t>格式</w:t>
      </w:r>
      <w:r>
        <w:rPr>
          <w:rFonts w:hint="eastAsia" w:ascii="宋体" w:hAnsi="宋体"/>
          <w:b/>
          <w:bCs/>
          <w:sz w:val="24"/>
          <w:lang w:val="en-US" w:eastAsia="zh-CN"/>
        </w:rPr>
        <w:t>6</w:t>
      </w:r>
      <w:r>
        <w:rPr>
          <w:rFonts w:hint="eastAsia" w:ascii="宋体" w:hAnsi="宋体"/>
          <w:b/>
          <w:bCs/>
          <w:sz w:val="24"/>
        </w:rPr>
        <w:t xml:space="preserve"> 报价表</w:t>
      </w:r>
    </w:p>
    <w:p>
      <w:pPr>
        <w:adjustRightInd w:val="0"/>
        <w:snapToGrid w:val="0"/>
        <w:spacing w:line="560" w:lineRule="exact"/>
        <w:rPr>
          <w:rFonts w:ascii="宋体" w:hAnsi="宋体"/>
          <w:b/>
          <w:bCs/>
          <w:sz w:val="24"/>
        </w:rPr>
      </w:pPr>
    </w:p>
    <w:p>
      <w:pPr>
        <w:tabs>
          <w:tab w:val="left" w:pos="900"/>
        </w:tabs>
        <w:spacing w:line="560" w:lineRule="exact"/>
        <w:jc w:val="center"/>
        <w:rPr>
          <w:rFonts w:hint="eastAsia" w:eastAsia="宋体"/>
          <w:sz w:val="44"/>
          <w:szCs w:val="44"/>
          <w:lang w:eastAsia="zh-CN"/>
        </w:rPr>
      </w:pPr>
      <w:r>
        <w:rPr>
          <w:rFonts w:hint="eastAsia" w:ascii="宋体" w:hAnsi="宋体" w:cs="仿宋_GB2312"/>
          <w:b/>
          <w:sz w:val="44"/>
          <w:szCs w:val="44"/>
        </w:rPr>
        <w:t>报价表</w:t>
      </w:r>
    </w:p>
    <w:p>
      <w:pPr>
        <w:adjustRightInd w:val="0"/>
        <w:snapToGrid w:val="0"/>
        <w:spacing w:line="560" w:lineRule="exact"/>
        <w:rPr>
          <w:rFonts w:ascii="宋体" w:hAnsi="宋体" w:cs="宋体"/>
          <w:b/>
          <w:bCs/>
          <w:sz w:val="22"/>
          <w:szCs w:val="22"/>
        </w:rPr>
      </w:pPr>
    </w:p>
    <w:p>
      <w:pPr>
        <w:adjustRightInd w:val="0"/>
        <w:snapToGrid w:val="0"/>
        <w:spacing w:line="560" w:lineRule="exact"/>
        <w:rPr>
          <w:rFonts w:ascii="宋体" w:hAnsi="宋体" w:cs="宋体"/>
          <w:b/>
          <w:bCs/>
          <w:spacing w:val="-11"/>
          <w:sz w:val="24"/>
        </w:rPr>
      </w:pPr>
      <w:r>
        <w:rPr>
          <w:rFonts w:hint="eastAsia" w:ascii="宋体" w:hAnsi="宋体" w:cs="宋体"/>
          <w:b/>
          <w:bCs/>
          <w:spacing w:val="-11"/>
          <w:sz w:val="24"/>
        </w:rPr>
        <w:t>项目名称：中山市公共交通运输集团有</w:t>
      </w:r>
      <w:r>
        <w:rPr>
          <w:rFonts w:hint="eastAsia" w:ascii="宋体" w:hAnsi="宋体" w:eastAsia="宋体" w:cs="宋体"/>
          <w:b/>
          <w:bCs/>
          <w:spacing w:val="-11"/>
          <w:sz w:val="24"/>
        </w:rPr>
        <w:t>限公司</w:t>
      </w:r>
      <w:r>
        <w:rPr>
          <w:rFonts w:hint="eastAsia" w:ascii="宋体" w:hAnsi="宋体" w:eastAsia="宋体" w:cs="宋体"/>
          <w:b/>
          <w:bCs/>
          <w:spacing w:val="-11"/>
          <w:sz w:val="24"/>
          <w:lang w:val="en-US" w:eastAsia="zh-CN"/>
        </w:rPr>
        <w:t>深中跨市公交售票系统采购</w:t>
      </w:r>
      <w:r>
        <w:rPr>
          <w:rFonts w:hint="eastAsia" w:ascii="宋体" w:hAnsi="宋体" w:eastAsia="宋体" w:cs="宋体"/>
          <w:b/>
          <w:bCs/>
          <w:spacing w:val="-11"/>
          <w:sz w:val="24"/>
        </w:rPr>
        <w:t>项目</w:t>
      </w:r>
    </w:p>
    <w:tbl>
      <w:tblPr>
        <w:tblStyle w:val="33"/>
        <w:tblW w:w="5000" w:type="pct"/>
        <w:tblInd w:w="0" w:type="dxa"/>
        <w:tblLayout w:type="autofit"/>
        <w:tblCellMar>
          <w:top w:w="0" w:type="dxa"/>
          <w:left w:w="108" w:type="dxa"/>
          <w:bottom w:w="0" w:type="dxa"/>
          <w:right w:w="108" w:type="dxa"/>
        </w:tblCellMar>
      </w:tblPr>
      <w:tblGrid>
        <w:gridCol w:w="9289"/>
      </w:tblGrid>
      <w:tr>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rPr>
            </w:pPr>
            <w:r>
              <w:rPr>
                <w:rFonts w:hint="eastAsia" w:ascii="宋体" w:hAnsi="宋体" w:cs="宋体"/>
                <w:color w:val="000000"/>
                <w:kern w:val="0"/>
                <w:sz w:val="24"/>
                <w:lang w:eastAsia="zh-CN" w:bidi="ar"/>
              </w:rPr>
              <w:t>需求服务</w:t>
            </w:r>
            <w:r>
              <w:rPr>
                <w:rFonts w:hint="eastAsia" w:ascii="宋体" w:hAnsi="宋体" w:cs="宋体"/>
                <w:color w:val="000000"/>
                <w:kern w:val="0"/>
                <w:sz w:val="24"/>
                <w:lang w:bidi="ar"/>
              </w:rPr>
              <w:t>内容</w:t>
            </w:r>
          </w:p>
        </w:tc>
      </w:tr>
      <w:tr>
        <w:tblPrEx>
          <w:tblCellMar>
            <w:top w:w="0" w:type="dxa"/>
            <w:left w:w="108" w:type="dxa"/>
            <w:bottom w:w="0" w:type="dxa"/>
            <w:right w:w="108" w:type="dxa"/>
          </w:tblCellMar>
        </w:tblPrEx>
        <w:trPr>
          <w:trHeight w:val="13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000000"/>
                <w:kern w:val="0"/>
                <w:sz w:val="24"/>
                <w:lang w:val="en-US" w:eastAsia="zh-CN" w:bidi="ar"/>
              </w:rPr>
              <w:t>供应商提供</w:t>
            </w:r>
            <w:r>
              <w:rPr>
                <w:rFonts w:hint="eastAsia" w:ascii="宋体" w:hAnsi="宋体" w:eastAsia="宋体" w:cs="宋体"/>
                <w:sz w:val="24"/>
                <w:lang w:val="en-US" w:eastAsia="zh-CN"/>
              </w:rPr>
              <w:t>建设一套售票系统，主要包括售票管理平台后台、</w:t>
            </w:r>
            <w:r>
              <w:rPr>
                <w:rFonts w:hint="eastAsia" w:ascii="宋体" w:hAnsi="宋体" w:eastAsia="宋体" w:cs="宋体"/>
                <w:sz w:val="24"/>
              </w:rPr>
              <w:t>移动乘客端、移动司机端</w:t>
            </w:r>
            <w:r>
              <w:rPr>
                <w:rFonts w:hint="eastAsia" w:ascii="宋体" w:hAnsi="宋体" w:eastAsia="宋体" w:cs="宋体"/>
                <w:sz w:val="24"/>
                <w:lang w:val="en-US" w:eastAsia="zh-CN"/>
              </w:rPr>
              <w:t>、车载验票端等。整套系统配合完成线路制定、排班管理、临时加班、乘客购票、上车验票等全过程线上购票流程。</w:t>
            </w:r>
          </w:p>
          <w:p>
            <w:pPr>
              <w:widowControl/>
              <w:jc w:val="both"/>
              <w:textAlignment w:val="top"/>
              <w:rPr>
                <w:rFonts w:ascii="宋体" w:hAnsi="宋体" w:cs="宋体"/>
                <w:color w:val="000000"/>
                <w:sz w:val="24"/>
              </w:rPr>
            </w:pPr>
          </w:p>
        </w:tc>
      </w:tr>
      <w:tr>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报价（含税）：人民币</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元</w:t>
            </w:r>
          </w:p>
        </w:tc>
      </w:tr>
    </w:tbl>
    <w:p>
      <w:pPr>
        <w:adjustRightInd w:val="0"/>
        <w:snapToGrid w:val="0"/>
        <w:spacing w:line="560" w:lineRule="exact"/>
        <w:rPr>
          <w:rFonts w:ascii="宋体" w:hAnsi="宋体"/>
          <w:bCs/>
          <w:sz w:val="24"/>
        </w:rPr>
      </w:pPr>
      <w:r>
        <w:rPr>
          <w:rFonts w:hint="eastAsia" w:ascii="宋体" w:hAnsi="宋体"/>
          <w:bCs/>
          <w:sz w:val="24"/>
        </w:rPr>
        <w:t>注：</w:t>
      </w:r>
    </w:p>
    <w:p>
      <w:pPr>
        <w:adjustRightInd w:val="0"/>
        <w:snapToGrid w:val="0"/>
        <w:spacing w:line="560" w:lineRule="exact"/>
        <w:rPr>
          <w:rFonts w:ascii="宋体" w:hAnsi="宋体" w:cs="宋体"/>
          <w:bCs/>
          <w:sz w:val="24"/>
        </w:rPr>
      </w:pPr>
      <w:r>
        <w:rPr>
          <w:rFonts w:hint="eastAsia" w:ascii="宋体" w:hAnsi="宋体" w:cs="宋体"/>
          <w:bCs/>
          <w:sz w:val="24"/>
        </w:rPr>
        <w:t>1.以上价格包含</w:t>
      </w:r>
      <w:r>
        <w:rPr>
          <w:rFonts w:hint="eastAsia" w:ascii="宋体" w:hAnsi="宋体" w:cs="宋体"/>
          <w:sz w:val="24"/>
        </w:rPr>
        <w:t>供应商完成上述项目的所需的调研费、报告费、印刷费、包装费、差旅费、售后服务费等一切费用。未经采购人书面同意，供应商不得向采购人额外收取其他费用</w:t>
      </w:r>
      <w:r>
        <w:rPr>
          <w:rFonts w:hint="eastAsia" w:ascii="宋体" w:hAnsi="宋体" w:cs="宋体"/>
          <w:bCs/>
          <w:sz w:val="24"/>
        </w:rPr>
        <w:t>。</w:t>
      </w:r>
    </w:p>
    <w:p>
      <w:pPr>
        <w:adjustRightInd w:val="0"/>
        <w:snapToGrid w:val="0"/>
        <w:spacing w:line="560" w:lineRule="exact"/>
        <w:rPr>
          <w:rFonts w:ascii="宋体" w:hAnsi="宋体" w:cs="宋体"/>
          <w:bCs/>
          <w:sz w:val="24"/>
        </w:rPr>
      </w:pPr>
      <w:r>
        <w:rPr>
          <w:rFonts w:hint="eastAsia" w:ascii="宋体" w:hAnsi="宋体" w:cs="宋体"/>
          <w:bCs/>
          <w:sz w:val="24"/>
        </w:rPr>
        <w:t>2.所有价格均以人民币作为货币单位填写及计算。</w:t>
      </w:r>
    </w:p>
    <w:p>
      <w:pPr>
        <w:adjustRightInd w:val="0"/>
        <w:snapToGrid w:val="0"/>
        <w:spacing w:line="560" w:lineRule="exact"/>
        <w:rPr>
          <w:rFonts w:hint="eastAsia" w:ascii="宋体" w:hAnsi="宋体" w:cs="宋体"/>
          <w:bCs/>
          <w:sz w:val="24"/>
        </w:rPr>
      </w:pPr>
      <w:r>
        <w:rPr>
          <w:rFonts w:hint="eastAsia" w:ascii="宋体" w:hAnsi="宋体" w:cs="宋体"/>
          <w:bCs/>
          <w:sz w:val="24"/>
        </w:rPr>
        <w:t>3.报价自报名截止之日后</w:t>
      </w:r>
      <w:r>
        <w:rPr>
          <w:rFonts w:hint="eastAsia" w:ascii="宋体" w:hAnsi="宋体" w:cs="宋体"/>
          <w:bCs/>
          <w:sz w:val="24"/>
          <w:lang w:val="en-US" w:eastAsia="zh-CN"/>
        </w:rPr>
        <w:t>3</w:t>
      </w:r>
      <w:r>
        <w:rPr>
          <w:rFonts w:hint="eastAsia" w:ascii="宋体" w:hAnsi="宋体" w:cs="宋体"/>
          <w:bCs/>
          <w:sz w:val="24"/>
        </w:rPr>
        <w:t>0天内有效。</w:t>
      </w:r>
    </w:p>
    <w:p>
      <w:pPr>
        <w:adjustRightInd w:val="0"/>
        <w:snapToGrid w:val="0"/>
        <w:spacing w:line="560" w:lineRule="exact"/>
        <w:rPr>
          <w:rFonts w:hint="eastAsia" w:ascii="宋体" w:hAnsi="宋体" w:eastAsia="宋体" w:cs="宋体"/>
          <w:bCs/>
          <w:sz w:val="24"/>
          <w:lang w:val="en-US" w:eastAsia="zh-CN"/>
        </w:rPr>
      </w:pPr>
      <w:r>
        <w:rPr>
          <w:rFonts w:hint="eastAsia" w:ascii="宋体" w:hAnsi="宋体" w:cs="宋体"/>
          <w:bCs/>
          <w:sz w:val="24"/>
          <w:lang w:val="en-US" w:eastAsia="zh-CN"/>
        </w:rPr>
        <w:t>4.如出现《报价表》中的报价与《</w:t>
      </w:r>
      <w:r>
        <w:rPr>
          <w:rFonts w:hint="eastAsia" w:ascii="宋体" w:hAnsi="宋体" w:eastAsia="宋体" w:cs="宋体"/>
          <w:b w:val="0"/>
          <w:bCs/>
          <w:i w:val="0"/>
          <w:iCs w:val="0"/>
          <w:kern w:val="2"/>
          <w:sz w:val="24"/>
          <w:szCs w:val="24"/>
          <w:u w:val="none"/>
          <w:lang w:val="en-US" w:eastAsia="zh-CN" w:bidi="ar"/>
        </w:rPr>
        <w:t>深中跨市公交售票系统项目报价清单</w:t>
      </w:r>
      <w:r>
        <w:rPr>
          <w:rFonts w:hint="eastAsia" w:ascii="宋体" w:hAnsi="宋体" w:cs="宋体"/>
          <w:bCs/>
          <w:sz w:val="24"/>
          <w:lang w:val="en-US" w:eastAsia="zh-CN"/>
        </w:rPr>
        <w:t>》中的单价总和不一致，以《报价表》中的报价为准。</w:t>
      </w:r>
    </w:p>
    <w:p>
      <w:pPr>
        <w:adjustRightInd w:val="0"/>
        <w:snapToGrid w:val="0"/>
        <w:spacing w:line="560" w:lineRule="exact"/>
        <w:rPr>
          <w:rFonts w:ascii="宋体" w:hAnsi="宋体"/>
          <w:bCs/>
          <w:sz w:val="24"/>
        </w:rPr>
      </w:pPr>
    </w:p>
    <w:p>
      <w:pPr>
        <w:adjustRightInd w:val="0"/>
        <w:snapToGrid w:val="0"/>
        <w:spacing w:line="560" w:lineRule="exact"/>
        <w:rPr>
          <w:rFonts w:ascii="宋体" w:hAnsi="宋体"/>
          <w:bCs/>
          <w:sz w:val="24"/>
        </w:rPr>
      </w:pPr>
      <w:r>
        <w:rPr>
          <w:rFonts w:hint="eastAsia" w:ascii="宋体" w:hAnsi="宋体"/>
          <w:bCs/>
          <w:sz w:val="24"/>
        </w:rPr>
        <w:t xml:space="preserve">参评供应商（盖章）：         </w:t>
      </w:r>
    </w:p>
    <w:p>
      <w:pPr>
        <w:adjustRightInd w:val="0"/>
        <w:snapToGrid w:val="0"/>
        <w:spacing w:line="560" w:lineRule="exact"/>
        <w:rPr>
          <w:rFonts w:ascii="宋体" w:hAnsi="宋体"/>
          <w:bCs/>
          <w:sz w:val="24"/>
        </w:rPr>
      </w:pPr>
      <w:r>
        <w:rPr>
          <w:rFonts w:hint="eastAsia" w:ascii="宋体" w:hAnsi="宋体"/>
          <w:bCs/>
          <w:sz w:val="24"/>
        </w:rPr>
        <w:t>日期：</w:t>
      </w:r>
    </w:p>
    <w:p>
      <w:pPr>
        <w:adjustRightInd w:val="0"/>
        <w:snapToGrid w:val="0"/>
        <w:spacing w:line="560" w:lineRule="exact"/>
        <w:rPr>
          <w:rFonts w:ascii="宋体" w:hAnsi="宋体"/>
          <w:bCs/>
          <w:sz w:val="24"/>
        </w:rPr>
      </w:pPr>
    </w:p>
    <w:p>
      <w:pPr>
        <w:rPr>
          <w:rFonts w:hint="eastAsia" w:ascii="宋体" w:hAnsi="宋体"/>
          <w:b/>
          <w:bCs/>
          <w:sz w:val="24"/>
        </w:rPr>
        <w:sectPr>
          <w:headerReference r:id="rId15" w:type="default"/>
          <w:footerReference r:id="rId16" w:type="default"/>
          <w:pgSz w:w="11907" w:h="16840"/>
          <w:pgMar w:top="1134" w:right="1417" w:bottom="1134" w:left="1417" w:header="624" w:footer="992" w:gutter="0"/>
          <w:cols w:space="720" w:num="1"/>
          <w:docGrid w:linePitch="312" w:charSpace="0"/>
        </w:sectPr>
      </w:pPr>
      <w:r>
        <w:rPr>
          <w:rFonts w:hint="eastAsia" w:ascii="宋体" w:hAnsi="宋体"/>
          <w:b/>
          <w:bCs/>
          <w:sz w:val="24"/>
        </w:rPr>
        <w:br w:type="page"/>
      </w:r>
    </w:p>
    <w:p>
      <w:pPr>
        <w:rPr>
          <w:rFonts w:hint="eastAsia" w:ascii="宋体" w:hAnsi="宋体"/>
          <w:b/>
          <w:bCs/>
          <w:sz w:val="24"/>
          <w:lang w:val="en-US" w:eastAsia="zh-CN"/>
        </w:rPr>
      </w:pPr>
      <w:r>
        <w:rPr>
          <w:rFonts w:hint="eastAsia" w:ascii="宋体" w:hAnsi="宋体"/>
          <w:b/>
          <w:bCs/>
          <w:sz w:val="24"/>
          <w:lang w:val="en-US" w:eastAsia="zh-CN"/>
        </w:rPr>
        <w:t>格式7 项目报价清单</w:t>
      </w:r>
    </w:p>
    <w:tbl>
      <w:tblPr>
        <w:tblStyle w:val="33"/>
        <w:tblW w:w="14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191"/>
        <w:gridCol w:w="1766"/>
        <w:gridCol w:w="2417"/>
        <w:gridCol w:w="4550"/>
        <w:gridCol w:w="833"/>
        <w:gridCol w:w="1517"/>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4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深中跨市公交售票系统项目报价清单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子系统</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模块</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功能说明</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售票管理后台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基础资料设置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管理车辆基本信息(支持从用户智能调度系统同步)，设置车辆车牌号、车型等信息</w:t>
            </w:r>
            <w:r>
              <w:rPr>
                <w:rFonts w:hint="eastAsia" w:ascii="宋体" w:hAnsi="宋体" w:cs="宋体"/>
                <w:i w:val="0"/>
                <w:iCs w:val="0"/>
                <w:color w:val="000000"/>
                <w:kern w:val="0"/>
                <w:sz w:val="22"/>
                <w:szCs w:val="22"/>
                <w:u w:val="none"/>
                <w:lang w:val="en-US" w:eastAsia="zh-CN" w:bidi="ar"/>
              </w:rPr>
              <w:t>。</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线路基础信息设置，设置线路编号、名称、发车时间、途径站点、座位数、购票类型、有效期、票价、可购买日期、路径规划等。</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驾驶员管理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管理司机基本信息(支持从智能调度系统同步)，包含司机姓名、工号、联系电话等，司机可以通过工号或者手机号登录司机端。</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全票、半票、免儿童票、残疾人证(盲人证)、军残票、中山老人票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站点管理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可在后台查看到站点库中的所有站点，可对已有站点进行启用/停用操作。亦可根据运营需求，新增站点。</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车载验票终端管理</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软件系统</w:t>
            </w: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1、停班、通知客户、退款等调度排班。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2、发车时间、票价等管理</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3、发班班次确认车辆和驾驶员信息。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4、行车计划，按固定班次制定排班计划。</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临时加班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车票列表</w:t>
            </w:r>
          </w:p>
        </w:tc>
        <w:tc>
          <w:tcPr>
            <w:tcW w:w="45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支持人工后台售票，及退改签操作。支持读取二代身份证。支持微信/支付宝/现金支付。打印纸质乘车凭证。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设置线路退票规则：1、发车前2小时以上的（含本数），可办理一次免费改签手续。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2、发车后超过5分钟，不能办理退票。与班车退票手续费规则相同。</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nil"/>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票价设置</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余票查询</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车票打印</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列表，记录订单线路、手机号、票价、购票数、购票金额、退票数、退票金额、订单状态、渠道来源等，支持通过订单号、渠道、状态等筛选订单，同时支持在管理平台对订单进行退票、退款（特殊情况下单退款）操作。</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发票基础资料设置</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对接发票接口，支持用户自助或管理员订单发票开具</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开票、下载</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系统报表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总销售统计报表</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系统提供多维度数据报表展示，包括运营汇总报表（时段、日报、月报）、车辆、线路、司机汇总报表、线路班次明细表等，都可查询时段、日报、月报汇总信息。</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今日分时核销报表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车辆每日核销报表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分班次销售统计报表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提供基本的用户操作日志</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角色权限</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限定用户只能访问被授权的功能</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移动乘客端</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用户选择乘坐的线路后，选择上车站点、下车站点、乘车日期、票种、数量进行购票下单。</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车票出示</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在行程页面点击车票进行乘车验票，通过车载终端或者司机端扫码验票，非当前行程的票验票无效。</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申请开票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发票下载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我的订单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实名认证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实名才需要</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意见反馈</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联系我们</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移动司机端</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应用登录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司机输入账号、密码登录应用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行程查看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支持查看待完成和已完成的行程列表</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行程开始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开始运营</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当司机在行程起点要发车时，可在司机端操作开始运营，系统将消息通知到乘车人，起点站点未乘车人员则不必再前往乘车，在乘客端进行退票处理，同时后台会对行程进行行程开始处理。</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行程到站</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司机行程中可以查看到达站点的站点信息以及该站点的上下车人数，司机端验证乘客车票二维码，验票上车。</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到站后车载验票终端或者司机端执行验票操作，乘客出示车票二维码在司机端设备上验票上车，验证成功后，将在司机端页面显示验票结果信息，同时支持一键快速验票。一个车票二维码只能使用一次。</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当行程到达终点，司机在司机端确认到达目的地，系统结束当前行程。</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第三方接口</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车载验票终端核销接口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售票系统对接设备，支持电子码、凭证二维码检票，核销车票。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1、支持一码多检。同一个订单并同一个班次，扫任意码，支持全部检票。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2、优惠群体检票，系统提示核验证件。由司机人工核验。</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3、语音提示：优惠票、半票、老人票等票型提示。提示司机做证件核验。</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中山通数据接口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老人卡</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LED发车屏接口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对接售票班次信息，提供班次预测</w:t>
            </w:r>
            <w:r>
              <w:rPr>
                <w:rFonts w:hint="eastAsia" w:ascii="宋体" w:hAnsi="宋体" w:cs="宋体"/>
                <w:i w:val="0"/>
                <w:iCs w:val="0"/>
                <w:color w:val="000000"/>
                <w:kern w:val="0"/>
                <w:sz w:val="22"/>
                <w:szCs w:val="22"/>
                <w:u w:val="none"/>
                <w:lang w:val="en-US" w:eastAsia="zh-CN" w:bidi="ar"/>
              </w:rPr>
              <w:t>。</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硬件</w:t>
            </w:r>
          </w:p>
        </w:tc>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车载核销设备</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APP定制</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UI定制 +显示当班次销售统计</w:t>
            </w:r>
          </w:p>
        </w:tc>
        <w:tc>
          <w:tcPr>
            <w:tcW w:w="45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可以识别乘客端各种票类别</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对于各种优惠票种可设置不同语音</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、硬件质保3年、含安装调试</w:t>
            </w:r>
            <w:r>
              <w:rPr>
                <w:rFonts w:hint="eastAsia" w:ascii="宋体" w:hAnsi="宋体" w:cs="宋体"/>
                <w:i w:val="0"/>
                <w:iCs w:val="0"/>
                <w:color w:val="000000"/>
                <w:kern w:val="0"/>
                <w:sz w:val="22"/>
                <w:szCs w:val="22"/>
                <w:u w:val="none"/>
                <w:lang w:val="en-US" w:eastAsia="zh-CN" w:bidi="ar"/>
              </w:rPr>
              <w:t>。</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票种验票</w:t>
            </w:r>
          </w:p>
        </w:tc>
        <w:tc>
          <w:tcPr>
            <w:tcW w:w="45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票种语音设置</w:t>
            </w:r>
          </w:p>
        </w:tc>
        <w:tc>
          <w:tcPr>
            <w:tcW w:w="45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云服务器A</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满足数据库服务、后端管理服务、负载均衡服务等（首年云资源服务由服务方提供，后续由用户自行承担）</w:t>
            </w:r>
            <w:r>
              <w:rPr>
                <w:rFonts w:hint="eastAsia" w:ascii="宋体" w:hAnsi="宋体" w:cs="宋体"/>
                <w:i w:val="0"/>
                <w:iCs w:val="0"/>
                <w:color w:val="000000"/>
                <w:kern w:val="0"/>
                <w:sz w:val="22"/>
                <w:szCs w:val="22"/>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云服务器B</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云服务器C</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(8vCPU 32GiB)  100GiB 5Mbps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8核、内存32G、数据盘200G、日志盘100G</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负载均衡CLB标准型I (slb.s2.small)公网 20M固定带宽</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6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833"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b/>
                <w:bCs/>
                <w:i w:val="0"/>
                <w:iCs w:val="0"/>
                <w:color w:val="000000"/>
                <w:sz w:val="28"/>
                <w:szCs w:val="28"/>
                <w:u w:val="none"/>
              </w:rPr>
            </w:pPr>
          </w:p>
        </w:tc>
        <w:tc>
          <w:tcPr>
            <w:tcW w:w="3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bl>
    <w:p>
      <w:pPr>
        <w:rPr>
          <w:rFonts w:hint="eastAsia" w:ascii="宋体" w:hAnsi="宋体"/>
          <w:b/>
          <w:bCs/>
          <w:sz w:val="24"/>
        </w:rPr>
      </w:pPr>
      <w:r>
        <w:rPr>
          <w:rFonts w:hint="eastAsia" w:ascii="宋体" w:hAnsi="宋体"/>
          <w:b/>
          <w:bCs/>
          <w:sz w:val="24"/>
        </w:rPr>
        <w:br w:type="page"/>
      </w:r>
    </w:p>
    <w:p>
      <w:r>
        <w:rPr>
          <w:rFonts w:hint="eastAsia" w:ascii="宋体" w:hAnsi="宋体"/>
          <w:b/>
          <w:bCs/>
          <w:sz w:val="24"/>
        </w:rPr>
        <w:t>格式</w:t>
      </w:r>
      <w:r>
        <w:rPr>
          <w:rFonts w:hint="eastAsia" w:ascii="宋体" w:hAnsi="宋体"/>
          <w:b/>
          <w:bCs/>
          <w:sz w:val="24"/>
          <w:lang w:val="en-US" w:eastAsia="zh-CN"/>
        </w:rPr>
        <w:t>8</w:t>
      </w:r>
      <w:r>
        <w:rPr>
          <w:rFonts w:hint="eastAsia" w:ascii="宋体" w:hAnsi="宋体"/>
          <w:b/>
          <w:bCs/>
          <w:sz w:val="24"/>
        </w:rPr>
        <w:t>需求响应表</w:t>
      </w:r>
    </w:p>
    <w:p>
      <w:pPr>
        <w:jc w:val="center"/>
        <w:rPr>
          <w:sz w:val="44"/>
          <w:szCs w:val="44"/>
        </w:rPr>
      </w:pPr>
      <w:r>
        <w:rPr>
          <w:rFonts w:hint="eastAsia" w:ascii="宋体" w:hAnsi="宋体" w:cs="仿宋_GB2312"/>
          <w:b/>
          <w:sz w:val="44"/>
          <w:szCs w:val="44"/>
        </w:rPr>
        <w:t>需求响应表</w:t>
      </w:r>
    </w:p>
    <w:p>
      <w:pPr>
        <w:adjustRightInd w:val="0"/>
        <w:snapToGrid w:val="0"/>
        <w:spacing w:line="560" w:lineRule="exact"/>
        <w:jc w:val="left"/>
        <w:rPr>
          <w:rFonts w:hint="eastAsia" w:ascii="宋体" w:hAnsi="宋体" w:eastAsia="宋体" w:cs="宋体"/>
          <w:b/>
          <w:bCs/>
          <w:spacing w:val="-11"/>
          <w:sz w:val="24"/>
        </w:rPr>
      </w:pPr>
      <w:r>
        <w:rPr>
          <w:rFonts w:hint="eastAsia" w:ascii="宋体" w:hAnsi="宋体" w:cs="宋体"/>
          <w:b/>
          <w:bCs/>
          <w:spacing w:val="-11"/>
          <w:sz w:val="24"/>
        </w:rPr>
        <w:t>项目名称：中山市公共交通运输集团有限公司</w:t>
      </w:r>
      <w:r>
        <w:rPr>
          <w:rFonts w:hint="eastAsia" w:ascii="宋体" w:hAnsi="宋体" w:eastAsia="宋体" w:cs="宋体"/>
          <w:b/>
          <w:bCs/>
          <w:spacing w:val="-11"/>
          <w:sz w:val="24"/>
          <w:lang w:val="en-US" w:eastAsia="zh-CN"/>
        </w:rPr>
        <w:t>深中跨市公交售票系统采购</w:t>
      </w:r>
      <w:r>
        <w:rPr>
          <w:rFonts w:hint="eastAsia" w:ascii="宋体" w:hAnsi="宋体" w:eastAsia="宋体" w:cs="宋体"/>
          <w:b/>
          <w:bCs/>
          <w:spacing w:val="-11"/>
          <w:sz w:val="24"/>
        </w:rPr>
        <w:t>项目</w:t>
      </w:r>
    </w:p>
    <w:tbl>
      <w:tblPr>
        <w:tblStyle w:val="33"/>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191"/>
        <w:gridCol w:w="1766"/>
        <w:gridCol w:w="2417"/>
        <w:gridCol w:w="4550"/>
        <w:gridCol w:w="1517"/>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子系统</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模块</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功能说明</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响应情况</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售票管理后台</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基础资料设置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管理车辆基本信息(支持从用户智能调度系统同步)，设置车辆车牌号、车型等信息</w:t>
            </w:r>
            <w:r>
              <w:rPr>
                <w:rFonts w:hint="eastAsia" w:ascii="宋体" w:hAnsi="宋体" w:cs="宋体"/>
                <w:i w:val="0"/>
                <w:iCs w:val="0"/>
                <w:color w:val="000000"/>
                <w:kern w:val="0"/>
                <w:sz w:val="22"/>
                <w:szCs w:val="22"/>
                <w:u w:val="none"/>
                <w:lang w:val="en-US" w:eastAsia="zh-CN" w:bidi="ar"/>
              </w:rPr>
              <w:t>。</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r>
              <w:rPr>
                <w:rFonts w:hint="eastAsia"/>
                <w:snapToGrid/>
                <w:spacing w:val="0"/>
                <w:kern w:val="2"/>
                <w:sz w:val="21"/>
                <w:szCs w:val="24"/>
              </w:rPr>
              <w:t>□完全响应  □部分响应</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线路基础信息设置，设置线路编号、名称、发车时间、途径站点、座位数、购票类型、有效期、票价、可购买日期、路径规划等。</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驾驶员管理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管理司机基本信息(支持从智能调度系统同步)，包含司机姓名、工号、联系电话等，司机可以通过工号或者手机号登录司机端。</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全票、半票、免儿童票、残疾人证(盲人证)、军残票、中山老人票</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站点管理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可在后台查看到站点库中的所有站点，可对已有站点进行启用/停用操作。亦可根据运营需求，新增站点。</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车载验票终端管理</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软件系统</w:t>
            </w: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1、停班、通知客户、退款等调度排班。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2、发车时间、票价等管理</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3、发班班次确认车辆和驾驶员信息。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4、行车计划，按固定班次制定排班计划。</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临时加班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停班</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车票列表</w:t>
            </w:r>
          </w:p>
        </w:tc>
        <w:tc>
          <w:tcPr>
            <w:tcW w:w="45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支持人工后台售票，及退改签操作。支持读取二代身份证。支持微信/支付宝/现金支付。打印纸质乘车凭证。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设置线路退票规则：1、发车前2小时以上的（含本数），可办理一次免费改签手续。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2、发车后超过5分钟，不能办理退票。与班车退票手续费规则相同。</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nil"/>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票价设置</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余票查询</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车票打印</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列表，记录订单线路、手机号、票价、购票数、购票金额、退票数、退票金额、订单状态、渠道来源等，支持通过订单号、渠道、状态等筛选订单，同时支持在管理平台对订单进行退票、退款（特殊情况下单退款）操作。</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发票基础资料设置</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对接发票接口，支持用户自助或管理员订单发票开具</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开票、下载</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系统报表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总销售统计报表</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系统提供多维度数据报表展示，包括运营汇总报表（时段、日报、月报）、车辆、线路、司机汇总报表、线路班次明细表等，都可查询时段、日报、月报汇总信息。</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今日分时核销报表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车辆每日核销报表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分班次销售统计报表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分班次核销统计报表</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日志管理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提供基本的用户操作日志</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角色权限</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限定用户只能访问被授权的功能</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移动乘客端</w:t>
            </w: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班次查询</w:t>
            </w:r>
          </w:p>
        </w:tc>
        <w:tc>
          <w:tcPr>
            <w:tcW w:w="455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用户选择乘坐的线路后，选择上车站点、下车站点、乘车日期、票种、数量进行购票下单。</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退票</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改签</w:t>
            </w:r>
          </w:p>
        </w:tc>
        <w:tc>
          <w:tcPr>
            <w:tcW w:w="4550"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车票出示</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在行程页面点击车票进行乘车验票，通过车载终端或者司机端扫码验票，非当前行程的票验票无效。</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申请开票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发票下载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个人信息</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我的订单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实名认证</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实名才需要</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意见反馈</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联系我们</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移动司机端</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应用登录</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司机输入账号、密码登录应用</w:t>
            </w:r>
            <w:r>
              <w:rPr>
                <w:rFonts w:hint="eastAsia" w:ascii="宋体" w:hAnsi="宋体" w:cs="宋体"/>
                <w:i w:val="0"/>
                <w:iCs w:val="0"/>
                <w:color w:val="000000"/>
                <w:kern w:val="0"/>
                <w:sz w:val="22"/>
                <w:szCs w:val="22"/>
                <w:u w:val="none"/>
                <w:lang w:val="en-US" w:eastAsia="zh-CN" w:bidi="ar"/>
              </w:rPr>
              <w:t>。</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行程查看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行程列表</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支持查看待完成和已完成的行程列表</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行程开始</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开始运营</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当司机在行程起点要发车时，可在司机端操作开始运营，系统将消息通知到乘车人，起点站点未乘车人员则不必再前往乘车，在乘客端进行退票处理，同时后台会对行程进行行程开始处理。</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行程到站</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司机行程中可以查看到达站点的站点信息以及该站点的上下车人数，司机端验证乘客车票二维码，验票上车。</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验票乘车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到站后车载验票终端或者司机端执行验票操作，乘客出示车票二维码在司机端设备上验票上车，验证成功后，将在司机端页面显示验票结果信息，同时支持一键快速验票。一个车票二维码只能使用一次。</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到达目的地</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当行程到达终点，司机在司机端确认到达目的地，系统结束当前行程。</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第三方接口</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车载验票终端核销接口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售票系统对接设备，支持电子码、凭证二维码检票，核销车票。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1、支持一码多检。同一个订单并同一个班次，扫任意码，支持全部检票。</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2、优惠群体检票，系统提示核验证件。由司机人工核验。</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3、语音提示：优惠票、半票、老人票等票型提示。提示司机做证件核验。</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中山通数据接口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老人卡</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LED发车屏接口</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iCs w:val="0"/>
                <w:color w:val="000000"/>
                <w:sz w:val="22"/>
                <w:szCs w:val="22"/>
                <w:u w:val="none"/>
              </w:rPr>
            </w:pP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对接售票班次信息，提供班次预测</w:t>
            </w:r>
            <w:r>
              <w:rPr>
                <w:rFonts w:hint="eastAsia" w:ascii="宋体" w:hAnsi="宋体" w:cs="宋体"/>
                <w:i w:val="0"/>
                <w:iCs w:val="0"/>
                <w:color w:val="000000"/>
                <w:kern w:val="0"/>
                <w:sz w:val="22"/>
                <w:szCs w:val="22"/>
                <w:u w:val="none"/>
                <w:lang w:val="en-US" w:eastAsia="zh-CN" w:bidi="ar"/>
              </w:rPr>
              <w:t>。</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硬件</w:t>
            </w:r>
          </w:p>
        </w:tc>
        <w:tc>
          <w:tcPr>
            <w:tcW w:w="11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车载核销设备</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界面</w:t>
            </w:r>
            <w:r>
              <w:rPr>
                <w:rFonts w:hint="eastAsia" w:ascii="宋体" w:hAnsi="宋体" w:eastAsia="宋体" w:cs="宋体"/>
                <w:i w:val="0"/>
                <w:iCs w:val="0"/>
                <w:color w:val="000000"/>
                <w:kern w:val="0"/>
                <w:sz w:val="22"/>
                <w:szCs w:val="22"/>
                <w:u w:val="none"/>
                <w:lang w:val="en-US" w:eastAsia="zh-CN" w:bidi="ar"/>
              </w:rPr>
              <w:t>定制</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UI定制 +显示当班次销售统计</w:t>
            </w:r>
          </w:p>
        </w:tc>
        <w:tc>
          <w:tcPr>
            <w:tcW w:w="45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可以识别乘客端各种票类别</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对于各种优惠票种可设置不同语音</w:t>
            </w:r>
            <w:r>
              <w:rPr>
                <w:rFonts w:hint="eastAsia" w:ascii="宋体" w:hAnsi="宋体" w:cs="宋体"/>
                <w:i w:val="0"/>
                <w:iCs w:val="0"/>
                <w:color w:val="000000"/>
                <w:kern w:val="0"/>
                <w:sz w:val="22"/>
                <w:szCs w:val="22"/>
                <w:u w:val="none"/>
                <w:lang w:val="en-US" w:eastAsia="zh-CN" w:bidi="ar"/>
              </w:rPr>
              <w:t>。</w:t>
            </w:r>
          </w:p>
          <w:p>
            <w:pPr>
              <w:pStyle w:val="2"/>
              <w:ind w:left="0" w:leftChars="0" w:firstLine="0" w:firstLineChars="0"/>
              <w:jc w:val="both"/>
              <w:rPr>
                <w:rFonts w:hint="default"/>
                <w:lang w:val="en-US"/>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、硬件质保3年、含安装调试</w:t>
            </w:r>
            <w:r>
              <w:rPr>
                <w:rFonts w:hint="eastAsia" w:ascii="宋体" w:hAnsi="宋体" w:cs="宋体"/>
                <w:i w:val="0"/>
                <w:iCs w:val="0"/>
                <w:color w:val="000000"/>
                <w:kern w:val="0"/>
                <w:sz w:val="22"/>
                <w:szCs w:val="22"/>
                <w:u w:val="none"/>
                <w:lang w:val="en-US" w:eastAsia="zh-CN" w:bidi="ar"/>
              </w:rPr>
              <w:t>。</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验票</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票种验票</w:t>
            </w:r>
          </w:p>
        </w:tc>
        <w:tc>
          <w:tcPr>
            <w:tcW w:w="45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语音设置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票种语音设置</w:t>
            </w:r>
          </w:p>
        </w:tc>
        <w:tc>
          <w:tcPr>
            <w:tcW w:w="45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w:t>
            </w: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云服务器A</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满足数据库服务、后端管理服务、负载均衡服务等（首年云资源服务由服务方提供，后续由用户自行承担）。</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云服务器B</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(4vCPU 16GiB)  100GiB 2Mbps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云服务器C</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(8vCPU 32GiB)  100GiB 5Mbps</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数据库服务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CPU 8核、内存32G、数据盘200G、日志盘100G</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负载均衡服务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负载均衡CLB标准型I (slb.s2.small)公网 20M固定带宽</w:t>
            </w:r>
          </w:p>
        </w:tc>
        <w:tc>
          <w:tcPr>
            <w:tcW w:w="4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snapToGrid/>
                <w:spacing w:val="0"/>
                <w:kern w:val="2"/>
                <w:sz w:val="21"/>
                <w:szCs w:val="24"/>
              </w:rPr>
              <w:t>□完全响应  □部分响应</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等线" w:hAnsi="等线" w:eastAsia="等线" w:cs="等线"/>
                <w:b w:val="0"/>
                <w:bCs w:val="0"/>
                <w:i w:val="0"/>
                <w:iCs w:val="0"/>
                <w:color w:val="000000"/>
                <w:kern w:val="0"/>
                <w:sz w:val="22"/>
                <w:szCs w:val="22"/>
                <w:u w:val="none"/>
                <w:lang w:val="en-US" w:eastAsia="zh-CN" w:bidi="ar"/>
              </w:rPr>
              <w:t>项目合同期</w:t>
            </w:r>
          </w:p>
        </w:tc>
        <w:tc>
          <w:tcPr>
            <w:tcW w:w="99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1"/>
                <w:numId w:val="0"/>
              </w:numPr>
              <w:spacing w:line="240" w:lineRule="auto"/>
              <w:ind w:left="0" w:leftChars="0" w:firstLine="0" w:firstLineChars="0"/>
              <w:jc w:val="left"/>
              <w:textAlignment w:val="center"/>
              <w:rPr>
                <w:rFonts w:hint="eastAsia" w:ascii="宋体" w:hAnsi="宋体" w:eastAsia="宋体" w:cs="宋体"/>
                <w:color w:val="000000"/>
                <w:kern w:val="0"/>
                <w:sz w:val="22"/>
                <w:szCs w:val="22"/>
                <w:u w:val="none"/>
                <w:lang w:val="en-US" w:eastAsia="zh-CN" w:bidi="ar"/>
              </w:rPr>
            </w:pPr>
          </w:p>
          <w:p>
            <w:pPr>
              <w:widowControl/>
              <w:numPr>
                <w:ilvl w:val="-1"/>
                <w:numId w:val="0"/>
              </w:numPr>
              <w:spacing w:line="240" w:lineRule="auto"/>
              <w:ind w:left="0" w:leftChars="0" w:firstLine="0" w:firstLineChars="0"/>
              <w:jc w:val="left"/>
              <w:textAlignment w:val="center"/>
              <w:rPr>
                <w:rFonts w:hint="default" w:ascii="宋体" w:hAnsi="宋体" w:eastAsia="宋体" w:cs="宋体"/>
                <w:color w:val="000000"/>
                <w:kern w:val="0"/>
                <w:sz w:val="22"/>
                <w:szCs w:val="22"/>
                <w:u w:val="none"/>
                <w:lang w:val="en-US" w:eastAsia="zh-CN" w:bidi="ar"/>
              </w:rPr>
            </w:pPr>
            <w:r>
              <w:rPr>
                <w:rFonts w:hint="eastAsia" w:ascii="宋体" w:hAnsi="宋体" w:eastAsia="宋体" w:cs="宋体"/>
                <w:color w:val="000000"/>
                <w:kern w:val="0"/>
                <w:sz w:val="22"/>
                <w:szCs w:val="22"/>
                <w:u w:val="none"/>
                <w:lang w:val="en-US" w:eastAsia="zh-CN" w:bidi="ar"/>
              </w:rPr>
              <w:t>收到中选通知书之日起50天内完成项目整体交付</w:t>
            </w:r>
            <w:r>
              <w:rPr>
                <w:rFonts w:hint="eastAsia" w:ascii="宋体" w:hAnsi="宋体" w:cs="宋体"/>
                <w:color w:val="000000"/>
                <w:kern w:val="0"/>
                <w:sz w:val="22"/>
                <w:szCs w:val="22"/>
                <w:u w:val="none"/>
                <w:lang w:val="en-US" w:eastAsia="zh-CN" w:bidi="ar"/>
              </w:rPr>
              <w:t>，验收通过之日起提供一年免费质保期。</w:t>
            </w: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r>
              <w:rPr>
                <w:rFonts w:hint="eastAsia"/>
                <w:snapToGrid/>
                <w:spacing w:val="0"/>
                <w:kern w:val="2"/>
                <w:sz w:val="21"/>
                <w:szCs w:val="24"/>
              </w:rPr>
              <w:t>□完全响应  □部分响应</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00" w:lineRule="exact"/>
              <w:jc w:val="center"/>
              <w:textAlignment w:val="center"/>
              <w:rPr>
                <w:rFonts w:hint="default" w:ascii="等线" w:hAnsi="等线" w:eastAsia="等线" w:cs="等线"/>
                <w:b w:val="0"/>
                <w:bCs w:val="0"/>
                <w:i w:val="0"/>
                <w:iCs w:val="0"/>
                <w:color w:val="000000"/>
                <w:kern w:val="0"/>
                <w:sz w:val="22"/>
                <w:szCs w:val="22"/>
                <w:u w:val="none"/>
                <w:lang w:val="en-US" w:eastAsia="zh-CN" w:bidi="ar"/>
              </w:rPr>
            </w:pPr>
            <w:r>
              <w:rPr>
                <w:rFonts w:hint="eastAsia" w:ascii="等线" w:hAnsi="等线" w:eastAsia="等线" w:cs="等线"/>
                <w:b w:val="0"/>
                <w:bCs w:val="0"/>
                <w:i w:val="0"/>
                <w:iCs w:val="0"/>
                <w:color w:val="000000"/>
                <w:kern w:val="0"/>
                <w:sz w:val="22"/>
                <w:szCs w:val="22"/>
                <w:u w:val="none"/>
                <w:lang w:val="en-US" w:eastAsia="zh-CN" w:bidi="ar"/>
              </w:rPr>
              <w:t>付款方式</w:t>
            </w:r>
          </w:p>
        </w:tc>
        <w:tc>
          <w:tcPr>
            <w:tcW w:w="99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付款方式:合同签订后，支付30%合同金额；项目上线并验收通过后，支付至90%合同金额；项目质保期结束后，支付至100%合同金额。</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snapToGrid/>
                <w:spacing w:val="0"/>
                <w:kern w:val="2"/>
                <w:sz w:val="21"/>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bl>
    <w:p>
      <w:pPr>
        <w:rPr>
          <w:sz w:val="44"/>
          <w:szCs w:val="44"/>
        </w:rPr>
      </w:pPr>
      <w:r>
        <w:rPr>
          <w:rFonts w:hint="eastAsia" w:ascii="宋体" w:hAnsi="宋体"/>
          <w:szCs w:val="21"/>
        </w:rPr>
        <w:t>注：对于上述要求，如参评供应商完全响应，则请在“响应情况”栏的“完全响应”框打“√”，对空白或“部分响应”框打“√”视为偏离，请在“偏离说明”栏内扼要说明偏离情况。</w:t>
      </w:r>
    </w:p>
    <w:p>
      <w:pPr>
        <w:spacing w:line="400" w:lineRule="exact"/>
        <w:jc w:val="center"/>
        <w:rPr>
          <w:sz w:val="44"/>
          <w:szCs w:val="44"/>
        </w:rPr>
      </w:pPr>
    </w:p>
    <w:p>
      <w:pPr>
        <w:adjustRightInd w:val="0"/>
        <w:snapToGrid w:val="0"/>
        <w:spacing w:line="560" w:lineRule="exact"/>
        <w:rPr>
          <w:rFonts w:ascii="宋体" w:hAnsi="宋体" w:cs="宋体"/>
          <w:sz w:val="24"/>
        </w:rPr>
      </w:pPr>
      <w:r>
        <w:rPr>
          <w:rFonts w:hint="eastAsia" w:ascii="宋体" w:hAnsi="宋体"/>
          <w:bCs/>
          <w:sz w:val="24"/>
        </w:rPr>
        <w:t>参评供应商（盖章）：</w:t>
      </w:r>
    </w:p>
    <w:bookmarkEnd w:id="0"/>
    <w:bookmarkEnd w:id="4"/>
    <w:p>
      <w:pPr>
        <w:pStyle w:val="3"/>
        <w:spacing w:line="5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日期：</w:t>
      </w:r>
    </w:p>
    <w:sectPr>
      <w:pgSz w:w="16840" w:h="11907" w:orient="landscape"/>
      <w:pgMar w:top="1417" w:right="1134" w:bottom="1417" w:left="1134"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E3CED"/>
    <w:multiLevelType w:val="singleLevel"/>
    <w:tmpl w:val="883E3CED"/>
    <w:lvl w:ilvl="0" w:tentative="0">
      <w:start w:val="1"/>
      <w:numFmt w:val="chineseCounting"/>
      <w:suff w:val="nothing"/>
      <w:lvlText w:val="%1、"/>
      <w:lvlJc w:val="left"/>
      <w:pPr>
        <w:ind w:left="0" w:firstLine="420"/>
      </w:pPr>
      <w:rPr>
        <w:rFonts w:hint="eastAsia"/>
      </w:rPr>
    </w:lvl>
  </w:abstractNum>
  <w:abstractNum w:abstractNumId="1">
    <w:nsid w:val="AEF38BD6"/>
    <w:multiLevelType w:val="singleLevel"/>
    <w:tmpl w:val="AEF38BD6"/>
    <w:lvl w:ilvl="0" w:tentative="0">
      <w:start w:val="1"/>
      <w:numFmt w:val="chineseCounting"/>
      <w:suff w:val="nothing"/>
      <w:lvlText w:val="（%1）"/>
      <w:lvlJc w:val="left"/>
      <w:pPr>
        <w:ind w:left="0" w:firstLine="420"/>
      </w:pPr>
      <w:rPr>
        <w:rFonts w:hint="eastAsia"/>
        <w:b w:val="0"/>
        <w:bCs w:val="0"/>
      </w:rPr>
    </w:lvl>
  </w:abstractNum>
  <w:abstractNum w:abstractNumId="2">
    <w:nsid w:val="B36CA767"/>
    <w:multiLevelType w:val="singleLevel"/>
    <w:tmpl w:val="B36CA767"/>
    <w:lvl w:ilvl="0" w:tentative="0">
      <w:start w:val="1"/>
      <w:numFmt w:val="chineseCounting"/>
      <w:suff w:val="nothing"/>
      <w:lvlText w:val="（%1）"/>
      <w:lvlJc w:val="left"/>
      <w:pPr>
        <w:ind w:left="0" w:firstLine="420"/>
      </w:pPr>
      <w:rPr>
        <w:rFonts w:hint="eastAsia"/>
        <w:b/>
        <w:bCs/>
      </w:rPr>
    </w:lvl>
  </w:abstractNum>
  <w:abstractNum w:abstractNumId="3">
    <w:nsid w:val="D48A554D"/>
    <w:multiLevelType w:val="singleLevel"/>
    <w:tmpl w:val="D48A554D"/>
    <w:lvl w:ilvl="0" w:tentative="0">
      <w:start w:val="1"/>
      <w:numFmt w:val="decimal"/>
      <w:lvlText w:val="%1."/>
      <w:lvlJc w:val="left"/>
      <w:pPr>
        <w:ind w:left="425" w:hanging="425"/>
      </w:pPr>
      <w:rPr>
        <w:rFonts w:hint="default"/>
      </w:rPr>
    </w:lvl>
  </w:abstractNum>
  <w:abstractNum w:abstractNumId="4">
    <w:nsid w:val="D8969DCD"/>
    <w:multiLevelType w:val="singleLevel"/>
    <w:tmpl w:val="D8969DCD"/>
    <w:lvl w:ilvl="0" w:tentative="0">
      <w:start w:val="1"/>
      <w:numFmt w:val="decimal"/>
      <w:lvlText w:val="%1."/>
      <w:lvlJc w:val="left"/>
      <w:pPr>
        <w:ind w:left="425" w:hanging="425"/>
      </w:pPr>
      <w:rPr>
        <w:rFonts w:hint="default"/>
      </w:rPr>
    </w:lvl>
  </w:abstractNum>
  <w:abstractNum w:abstractNumId="5">
    <w:nsid w:val="FD1B22AC"/>
    <w:multiLevelType w:val="singleLevel"/>
    <w:tmpl w:val="FD1B22AC"/>
    <w:lvl w:ilvl="0" w:tentative="0">
      <w:start w:val="1"/>
      <w:numFmt w:val="chineseCounting"/>
      <w:suff w:val="nothing"/>
      <w:lvlText w:val="（%1）"/>
      <w:lvlJc w:val="left"/>
      <w:pPr>
        <w:ind w:left="0" w:firstLine="420"/>
      </w:pPr>
      <w:rPr>
        <w:rFonts w:hint="eastAsia"/>
      </w:rPr>
    </w:lvl>
  </w:abstractNum>
  <w:abstractNum w:abstractNumId="6">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7">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2B812A2"/>
    <w:multiLevelType w:val="singleLevel"/>
    <w:tmpl w:val="72B812A2"/>
    <w:lvl w:ilvl="0" w:tentative="0">
      <w:start w:val="1"/>
      <w:numFmt w:val="decimal"/>
      <w:lvlText w:val="%1."/>
      <w:lvlJc w:val="left"/>
      <w:pPr>
        <w:ind w:left="425" w:hanging="425"/>
      </w:pPr>
      <w:rPr>
        <w:rFonts w:hint="default"/>
      </w:rPr>
    </w:lvl>
  </w:abstractNum>
  <w:abstractNum w:abstractNumId="10">
    <w:nsid w:val="7EB19C5C"/>
    <w:multiLevelType w:val="singleLevel"/>
    <w:tmpl w:val="7EB19C5C"/>
    <w:lvl w:ilvl="0" w:tentative="0">
      <w:start w:val="1"/>
      <w:numFmt w:val="decimal"/>
      <w:lvlText w:val="%1."/>
      <w:lvlJc w:val="left"/>
      <w:pPr>
        <w:ind w:left="425" w:hanging="425"/>
      </w:pPr>
      <w:rPr>
        <w:rFonts w:hint="default"/>
      </w:rPr>
    </w:lvl>
  </w:abstractNum>
  <w:num w:numId="1">
    <w:abstractNumId w:val="7"/>
  </w:num>
  <w:num w:numId="2">
    <w:abstractNumId w:val="0"/>
  </w:num>
  <w:num w:numId="3">
    <w:abstractNumId w:val="1"/>
  </w:num>
  <w:num w:numId="4">
    <w:abstractNumId w:val="5"/>
  </w:num>
  <w:num w:numId="5">
    <w:abstractNumId w:val="2"/>
  </w:num>
  <w:num w:numId="6">
    <w:abstractNumId w:val="10"/>
  </w:num>
  <w:num w:numId="7">
    <w:abstractNumId w:val="6"/>
  </w:num>
  <w:num w:numId="8">
    <w:abstractNumId w:val="4"/>
  </w:num>
  <w:num w:numId="9">
    <w:abstractNumId w:val="3"/>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GI5Y2MyMzIxYjEwNWU0N2MzNzE5OWZhNjFlMmUifQ=="/>
    <w:docVar w:name="KSO_WPS_MARK_KEY" w:val="73c939c1-a602-45b0-af69-6c2c8778f4a7"/>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BD46AF"/>
    <w:rsid w:val="03D434B0"/>
    <w:rsid w:val="03E906EE"/>
    <w:rsid w:val="03EB4E90"/>
    <w:rsid w:val="04241E73"/>
    <w:rsid w:val="04262995"/>
    <w:rsid w:val="042B5724"/>
    <w:rsid w:val="0433107A"/>
    <w:rsid w:val="043D0974"/>
    <w:rsid w:val="043D09D3"/>
    <w:rsid w:val="04690C9B"/>
    <w:rsid w:val="04D2377E"/>
    <w:rsid w:val="04D24BD5"/>
    <w:rsid w:val="04F1742A"/>
    <w:rsid w:val="04FC5E0B"/>
    <w:rsid w:val="05257385"/>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D6864"/>
    <w:rsid w:val="06A134CC"/>
    <w:rsid w:val="06A60C30"/>
    <w:rsid w:val="06B119B4"/>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C1CAF"/>
    <w:rsid w:val="086F4BF2"/>
    <w:rsid w:val="08734B0F"/>
    <w:rsid w:val="08E13BA5"/>
    <w:rsid w:val="08EF12F5"/>
    <w:rsid w:val="08F37C0A"/>
    <w:rsid w:val="08FE2B4C"/>
    <w:rsid w:val="091D6D2A"/>
    <w:rsid w:val="0934428C"/>
    <w:rsid w:val="09535363"/>
    <w:rsid w:val="09581E0B"/>
    <w:rsid w:val="095D64D1"/>
    <w:rsid w:val="09606FD4"/>
    <w:rsid w:val="09D973F0"/>
    <w:rsid w:val="09DF3508"/>
    <w:rsid w:val="09EB6247"/>
    <w:rsid w:val="0A002D14"/>
    <w:rsid w:val="0A057831"/>
    <w:rsid w:val="0A0A4B54"/>
    <w:rsid w:val="0A1D7AE7"/>
    <w:rsid w:val="0A1F4B6E"/>
    <w:rsid w:val="0A34078D"/>
    <w:rsid w:val="0A3C237F"/>
    <w:rsid w:val="0A6778F5"/>
    <w:rsid w:val="0A715808"/>
    <w:rsid w:val="0A81361B"/>
    <w:rsid w:val="0AA64848"/>
    <w:rsid w:val="0AB038FA"/>
    <w:rsid w:val="0AB42826"/>
    <w:rsid w:val="0ACE526C"/>
    <w:rsid w:val="0ACF685A"/>
    <w:rsid w:val="0ADD0260"/>
    <w:rsid w:val="0B1378FA"/>
    <w:rsid w:val="0B176497"/>
    <w:rsid w:val="0B210255"/>
    <w:rsid w:val="0B627B1C"/>
    <w:rsid w:val="0B7569DD"/>
    <w:rsid w:val="0BDC6240"/>
    <w:rsid w:val="0C470E4E"/>
    <w:rsid w:val="0C567B94"/>
    <w:rsid w:val="0C5A35C8"/>
    <w:rsid w:val="0C724156"/>
    <w:rsid w:val="0C961F39"/>
    <w:rsid w:val="0CAB7001"/>
    <w:rsid w:val="0CAD5F38"/>
    <w:rsid w:val="0CB908B9"/>
    <w:rsid w:val="0CB9349C"/>
    <w:rsid w:val="0CD043B5"/>
    <w:rsid w:val="0CD64A3A"/>
    <w:rsid w:val="0CDB39AB"/>
    <w:rsid w:val="0D0F1ED1"/>
    <w:rsid w:val="0D153DDC"/>
    <w:rsid w:val="0D1D57DC"/>
    <w:rsid w:val="0D1E7B48"/>
    <w:rsid w:val="0D277310"/>
    <w:rsid w:val="0D5200A9"/>
    <w:rsid w:val="0D5B02E4"/>
    <w:rsid w:val="0D766F90"/>
    <w:rsid w:val="0D9711B2"/>
    <w:rsid w:val="0DB85AC4"/>
    <w:rsid w:val="0DCB4048"/>
    <w:rsid w:val="0DD72AB2"/>
    <w:rsid w:val="0DDA5B01"/>
    <w:rsid w:val="0DFE43DA"/>
    <w:rsid w:val="0E21634A"/>
    <w:rsid w:val="0E245870"/>
    <w:rsid w:val="0E383782"/>
    <w:rsid w:val="0E54482E"/>
    <w:rsid w:val="0E8A0880"/>
    <w:rsid w:val="0E8D724C"/>
    <w:rsid w:val="0E9111D2"/>
    <w:rsid w:val="0E91595E"/>
    <w:rsid w:val="0EB649B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AF7C20"/>
    <w:rsid w:val="12FB128B"/>
    <w:rsid w:val="133867D5"/>
    <w:rsid w:val="1354218C"/>
    <w:rsid w:val="136C78B1"/>
    <w:rsid w:val="13A37C7E"/>
    <w:rsid w:val="13B50586"/>
    <w:rsid w:val="13C27156"/>
    <w:rsid w:val="14131A4D"/>
    <w:rsid w:val="14172225"/>
    <w:rsid w:val="142B7F7D"/>
    <w:rsid w:val="14424B94"/>
    <w:rsid w:val="1448764C"/>
    <w:rsid w:val="146E1654"/>
    <w:rsid w:val="146F42CC"/>
    <w:rsid w:val="147F2942"/>
    <w:rsid w:val="14884750"/>
    <w:rsid w:val="14AD4E44"/>
    <w:rsid w:val="14CA0D90"/>
    <w:rsid w:val="14E821D0"/>
    <w:rsid w:val="14EA4831"/>
    <w:rsid w:val="14EE2851"/>
    <w:rsid w:val="15000592"/>
    <w:rsid w:val="15170445"/>
    <w:rsid w:val="151B37F7"/>
    <w:rsid w:val="15316EAD"/>
    <w:rsid w:val="154F680F"/>
    <w:rsid w:val="15A33AAA"/>
    <w:rsid w:val="15C40A69"/>
    <w:rsid w:val="15CE3D48"/>
    <w:rsid w:val="163312FC"/>
    <w:rsid w:val="163D7C22"/>
    <w:rsid w:val="16690925"/>
    <w:rsid w:val="167563A8"/>
    <w:rsid w:val="16AE6042"/>
    <w:rsid w:val="16C57731"/>
    <w:rsid w:val="16CC5793"/>
    <w:rsid w:val="16FC3E17"/>
    <w:rsid w:val="170A5B08"/>
    <w:rsid w:val="173914CE"/>
    <w:rsid w:val="173F657E"/>
    <w:rsid w:val="17693BCC"/>
    <w:rsid w:val="17827659"/>
    <w:rsid w:val="17854F74"/>
    <w:rsid w:val="17A97FFD"/>
    <w:rsid w:val="17AA183F"/>
    <w:rsid w:val="17BF17AC"/>
    <w:rsid w:val="17D54812"/>
    <w:rsid w:val="17FE6DF4"/>
    <w:rsid w:val="18213480"/>
    <w:rsid w:val="18247151"/>
    <w:rsid w:val="185A0B11"/>
    <w:rsid w:val="185A4860"/>
    <w:rsid w:val="1870489F"/>
    <w:rsid w:val="18732A1B"/>
    <w:rsid w:val="18937086"/>
    <w:rsid w:val="18A04D95"/>
    <w:rsid w:val="18FB18AE"/>
    <w:rsid w:val="190C2680"/>
    <w:rsid w:val="191F63D5"/>
    <w:rsid w:val="19484078"/>
    <w:rsid w:val="195B7EBD"/>
    <w:rsid w:val="1960646A"/>
    <w:rsid w:val="19654D59"/>
    <w:rsid w:val="196F4069"/>
    <w:rsid w:val="19891909"/>
    <w:rsid w:val="19AC5E26"/>
    <w:rsid w:val="19D87C3F"/>
    <w:rsid w:val="19E15BC1"/>
    <w:rsid w:val="1A184016"/>
    <w:rsid w:val="1A1A32BC"/>
    <w:rsid w:val="1A217292"/>
    <w:rsid w:val="1A253E7A"/>
    <w:rsid w:val="1A5307EE"/>
    <w:rsid w:val="1A6D79F3"/>
    <w:rsid w:val="1A736B05"/>
    <w:rsid w:val="1A765907"/>
    <w:rsid w:val="1AA27163"/>
    <w:rsid w:val="1AAA4644"/>
    <w:rsid w:val="1AC8598D"/>
    <w:rsid w:val="1ACF439A"/>
    <w:rsid w:val="1AE17584"/>
    <w:rsid w:val="1AE24E3B"/>
    <w:rsid w:val="1B0F7662"/>
    <w:rsid w:val="1B2F01F7"/>
    <w:rsid w:val="1B807457"/>
    <w:rsid w:val="1B832885"/>
    <w:rsid w:val="1B952E18"/>
    <w:rsid w:val="1BAD4107"/>
    <w:rsid w:val="1BB10A56"/>
    <w:rsid w:val="1C1B17CC"/>
    <w:rsid w:val="1C35198D"/>
    <w:rsid w:val="1C3A1777"/>
    <w:rsid w:val="1C3B0523"/>
    <w:rsid w:val="1C3B7E7E"/>
    <w:rsid w:val="1C4933F0"/>
    <w:rsid w:val="1C626417"/>
    <w:rsid w:val="1C747680"/>
    <w:rsid w:val="1C991EF3"/>
    <w:rsid w:val="1CAE4C75"/>
    <w:rsid w:val="1CB97042"/>
    <w:rsid w:val="1CC50B01"/>
    <w:rsid w:val="1CD8293B"/>
    <w:rsid w:val="1CDA33E7"/>
    <w:rsid w:val="1D0A2E3C"/>
    <w:rsid w:val="1D1711DB"/>
    <w:rsid w:val="1D30010B"/>
    <w:rsid w:val="1D492FA7"/>
    <w:rsid w:val="1D4F721C"/>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82305D"/>
    <w:rsid w:val="1F9C4CF0"/>
    <w:rsid w:val="1FA05471"/>
    <w:rsid w:val="1FAF5847"/>
    <w:rsid w:val="1FBC7C45"/>
    <w:rsid w:val="1FEC1CDB"/>
    <w:rsid w:val="20043A13"/>
    <w:rsid w:val="2009646C"/>
    <w:rsid w:val="201F50AB"/>
    <w:rsid w:val="20286BE7"/>
    <w:rsid w:val="202D7C49"/>
    <w:rsid w:val="205C55F5"/>
    <w:rsid w:val="206E4C87"/>
    <w:rsid w:val="20867976"/>
    <w:rsid w:val="2089713B"/>
    <w:rsid w:val="209B5B4C"/>
    <w:rsid w:val="20A02DD5"/>
    <w:rsid w:val="20A506EA"/>
    <w:rsid w:val="20A8265D"/>
    <w:rsid w:val="20C23B31"/>
    <w:rsid w:val="2108125A"/>
    <w:rsid w:val="21093CBF"/>
    <w:rsid w:val="211E72B1"/>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C722D1"/>
    <w:rsid w:val="23F70BD0"/>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E42F4C"/>
    <w:rsid w:val="25E73963"/>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900490A"/>
    <w:rsid w:val="29104F95"/>
    <w:rsid w:val="29160A6A"/>
    <w:rsid w:val="2916382F"/>
    <w:rsid w:val="293A6BA0"/>
    <w:rsid w:val="293D2F9F"/>
    <w:rsid w:val="29496A2B"/>
    <w:rsid w:val="298619C5"/>
    <w:rsid w:val="29BE3F20"/>
    <w:rsid w:val="29CD6E0B"/>
    <w:rsid w:val="29DB7009"/>
    <w:rsid w:val="29E12779"/>
    <w:rsid w:val="29F274D9"/>
    <w:rsid w:val="29F54660"/>
    <w:rsid w:val="2A074834"/>
    <w:rsid w:val="2A1A4B90"/>
    <w:rsid w:val="2A6E077A"/>
    <w:rsid w:val="2A7C537A"/>
    <w:rsid w:val="2A8D0BC5"/>
    <w:rsid w:val="2A9D6489"/>
    <w:rsid w:val="2AAE5511"/>
    <w:rsid w:val="2B1F2251"/>
    <w:rsid w:val="2B3A611D"/>
    <w:rsid w:val="2B3A7863"/>
    <w:rsid w:val="2B4A23FD"/>
    <w:rsid w:val="2B5F4365"/>
    <w:rsid w:val="2B836CA6"/>
    <w:rsid w:val="2B857219"/>
    <w:rsid w:val="2B8E2A76"/>
    <w:rsid w:val="2B972B67"/>
    <w:rsid w:val="2BC82B5A"/>
    <w:rsid w:val="2BFF1B37"/>
    <w:rsid w:val="2C0F7423"/>
    <w:rsid w:val="2C2B19BA"/>
    <w:rsid w:val="2C442B0D"/>
    <w:rsid w:val="2C4C727A"/>
    <w:rsid w:val="2C6251CE"/>
    <w:rsid w:val="2C6B4037"/>
    <w:rsid w:val="2C95682C"/>
    <w:rsid w:val="2CA15966"/>
    <w:rsid w:val="2CB143C5"/>
    <w:rsid w:val="2CEF19AF"/>
    <w:rsid w:val="2D176EDB"/>
    <w:rsid w:val="2D2536DC"/>
    <w:rsid w:val="2D380720"/>
    <w:rsid w:val="2D3F4A4F"/>
    <w:rsid w:val="2D6A167A"/>
    <w:rsid w:val="2DB37418"/>
    <w:rsid w:val="2E0010BE"/>
    <w:rsid w:val="2E065750"/>
    <w:rsid w:val="2E2703EA"/>
    <w:rsid w:val="2E632F3C"/>
    <w:rsid w:val="2ECB42D1"/>
    <w:rsid w:val="2ECD0CBF"/>
    <w:rsid w:val="2EEE2F8B"/>
    <w:rsid w:val="2EFE112F"/>
    <w:rsid w:val="2F143137"/>
    <w:rsid w:val="2F2E713E"/>
    <w:rsid w:val="2F2F4078"/>
    <w:rsid w:val="2F3F511C"/>
    <w:rsid w:val="2F4F7689"/>
    <w:rsid w:val="2F642F4F"/>
    <w:rsid w:val="2F6E2E44"/>
    <w:rsid w:val="2F9766E3"/>
    <w:rsid w:val="2FE5271D"/>
    <w:rsid w:val="2FED502D"/>
    <w:rsid w:val="2FFD6164"/>
    <w:rsid w:val="30107868"/>
    <w:rsid w:val="301B756B"/>
    <w:rsid w:val="30200624"/>
    <w:rsid w:val="302216FB"/>
    <w:rsid w:val="3037562B"/>
    <w:rsid w:val="30402632"/>
    <w:rsid w:val="30733E1D"/>
    <w:rsid w:val="3096741E"/>
    <w:rsid w:val="30A110A4"/>
    <w:rsid w:val="30B36C61"/>
    <w:rsid w:val="30B52369"/>
    <w:rsid w:val="30B73648"/>
    <w:rsid w:val="30C21F49"/>
    <w:rsid w:val="30C37B1B"/>
    <w:rsid w:val="30CE69CD"/>
    <w:rsid w:val="30D957DB"/>
    <w:rsid w:val="30F07905"/>
    <w:rsid w:val="31283BB5"/>
    <w:rsid w:val="312F419E"/>
    <w:rsid w:val="31434320"/>
    <w:rsid w:val="31486F2C"/>
    <w:rsid w:val="315D757E"/>
    <w:rsid w:val="31A4332B"/>
    <w:rsid w:val="31B12DC9"/>
    <w:rsid w:val="31B2630F"/>
    <w:rsid w:val="31B41A25"/>
    <w:rsid w:val="31E05B58"/>
    <w:rsid w:val="321C6ECD"/>
    <w:rsid w:val="322C317F"/>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A21994"/>
    <w:rsid w:val="34B1413D"/>
    <w:rsid w:val="34B46FD2"/>
    <w:rsid w:val="357A4D33"/>
    <w:rsid w:val="357B023E"/>
    <w:rsid w:val="357D1B6A"/>
    <w:rsid w:val="35851A3A"/>
    <w:rsid w:val="35AB0D5C"/>
    <w:rsid w:val="35BE7F5D"/>
    <w:rsid w:val="35CC75E9"/>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7B3494"/>
    <w:rsid w:val="379850D3"/>
    <w:rsid w:val="379B2ED6"/>
    <w:rsid w:val="379D4EBE"/>
    <w:rsid w:val="37A30CFD"/>
    <w:rsid w:val="37A72FFE"/>
    <w:rsid w:val="37B254F5"/>
    <w:rsid w:val="37B26DB8"/>
    <w:rsid w:val="37D50473"/>
    <w:rsid w:val="37FE1E64"/>
    <w:rsid w:val="38203191"/>
    <w:rsid w:val="383E5D60"/>
    <w:rsid w:val="384D1B5D"/>
    <w:rsid w:val="385A0EAA"/>
    <w:rsid w:val="385D408A"/>
    <w:rsid w:val="386A6F5A"/>
    <w:rsid w:val="386B4E07"/>
    <w:rsid w:val="3881359D"/>
    <w:rsid w:val="3899362A"/>
    <w:rsid w:val="38B17492"/>
    <w:rsid w:val="38EF2E3F"/>
    <w:rsid w:val="38F75971"/>
    <w:rsid w:val="39183F7E"/>
    <w:rsid w:val="391C0FB5"/>
    <w:rsid w:val="394D72A3"/>
    <w:rsid w:val="39521DE6"/>
    <w:rsid w:val="39544012"/>
    <w:rsid w:val="3960396A"/>
    <w:rsid w:val="39640063"/>
    <w:rsid w:val="39723136"/>
    <w:rsid w:val="397A58BC"/>
    <w:rsid w:val="397B52BF"/>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B75123"/>
    <w:rsid w:val="3ACC0644"/>
    <w:rsid w:val="3ADE30A1"/>
    <w:rsid w:val="3AF81A31"/>
    <w:rsid w:val="3B1235D0"/>
    <w:rsid w:val="3B3F6A44"/>
    <w:rsid w:val="3B530B25"/>
    <w:rsid w:val="3B7B47DC"/>
    <w:rsid w:val="3B9B6C48"/>
    <w:rsid w:val="3BB20F3E"/>
    <w:rsid w:val="3BBF47C6"/>
    <w:rsid w:val="3BC1190E"/>
    <w:rsid w:val="3BD827B4"/>
    <w:rsid w:val="3C0579A8"/>
    <w:rsid w:val="3C161A03"/>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8B4B09"/>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AA14AE"/>
    <w:rsid w:val="3FD61D7A"/>
    <w:rsid w:val="3FDF24E4"/>
    <w:rsid w:val="3FF104A5"/>
    <w:rsid w:val="4004706C"/>
    <w:rsid w:val="400E2F20"/>
    <w:rsid w:val="403F697C"/>
    <w:rsid w:val="406A3F6F"/>
    <w:rsid w:val="40783708"/>
    <w:rsid w:val="40813CE0"/>
    <w:rsid w:val="40A01C85"/>
    <w:rsid w:val="40AA22DB"/>
    <w:rsid w:val="40BB7C11"/>
    <w:rsid w:val="410A457F"/>
    <w:rsid w:val="41406D10"/>
    <w:rsid w:val="41441915"/>
    <w:rsid w:val="417B0F19"/>
    <w:rsid w:val="418A660C"/>
    <w:rsid w:val="41B22D3C"/>
    <w:rsid w:val="41B57C77"/>
    <w:rsid w:val="41E33C60"/>
    <w:rsid w:val="41E869B7"/>
    <w:rsid w:val="41F36D58"/>
    <w:rsid w:val="41F73DDE"/>
    <w:rsid w:val="4218005B"/>
    <w:rsid w:val="42224789"/>
    <w:rsid w:val="425129E2"/>
    <w:rsid w:val="425E32E0"/>
    <w:rsid w:val="42677A68"/>
    <w:rsid w:val="42A3119D"/>
    <w:rsid w:val="42C40F54"/>
    <w:rsid w:val="42EF6284"/>
    <w:rsid w:val="4311120E"/>
    <w:rsid w:val="433504EC"/>
    <w:rsid w:val="43382772"/>
    <w:rsid w:val="435B32FF"/>
    <w:rsid w:val="43694B99"/>
    <w:rsid w:val="438C4BC4"/>
    <w:rsid w:val="43940580"/>
    <w:rsid w:val="43AC6452"/>
    <w:rsid w:val="43C03369"/>
    <w:rsid w:val="43C91E50"/>
    <w:rsid w:val="43DA7FEE"/>
    <w:rsid w:val="440532AB"/>
    <w:rsid w:val="44382F71"/>
    <w:rsid w:val="444A2CAD"/>
    <w:rsid w:val="446115D1"/>
    <w:rsid w:val="44827761"/>
    <w:rsid w:val="44AE1A62"/>
    <w:rsid w:val="44C04765"/>
    <w:rsid w:val="44DA759D"/>
    <w:rsid w:val="452C0086"/>
    <w:rsid w:val="452E722C"/>
    <w:rsid w:val="45605633"/>
    <w:rsid w:val="456C3E29"/>
    <w:rsid w:val="45A315F0"/>
    <w:rsid w:val="45B953B2"/>
    <w:rsid w:val="45FA5263"/>
    <w:rsid w:val="46301BA0"/>
    <w:rsid w:val="46420936"/>
    <w:rsid w:val="46456F86"/>
    <w:rsid w:val="466510E8"/>
    <w:rsid w:val="46793B1E"/>
    <w:rsid w:val="46851570"/>
    <w:rsid w:val="472407E9"/>
    <w:rsid w:val="47372C35"/>
    <w:rsid w:val="47623D82"/>
    <w:rsid w:val="47805B8E"/>
    <w:rsid w:val="478A48A3"/>
    <w:rsid w:val="47AC2395"/>
    <w:rsid w:val="47AF4D11"/>
    <w:rsid w:val="47BC49C7"/>
    <w:rsid w:val="47C30FA3"/>
    <w:rsid w:val="47E32FBE"/>
    <w:rsid w:val="47E92D3B"/>
    <w:rsid w:val="47ED3CBC"/>
    <w:rsid w:val="47F70F9C"/>
    <w:rsid w:val="48010667"/>
    <w:rsid w:val="48103D65"/>
    <w:rsid w:val="481423AF"/>
    <w:rsid w:val="48802209"/>
    <w:rsid w:val="488E5E34"/>
    <w:rsid w:val="488F02E4"/>
    <w:rsid w:val="48E70F87"/>
    <w:rsid w:val="48FE718B"/>
    <w:rsid w:val="49172519"/>
    <w:rsid w:val="491931DD"/>
    <w:rsid w:val="491A21ED"/>
    <w:rsid w:val="492244A7"/>
    <w:rsid w:val="493A2D00"/>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01718"/>
    <w:rsid w:val="4A807A85"/>
    <w:rsid w:val="4A866F35"/>
    <w:rsid w:val="4A995C7E"/>
    <w:rsid w:val="4A9B56ED"/>
    <w:rsid w:val="4AA61F8B"/>
    <w:rsid w:val="4AB82F3C"/>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7A183F"/>
    <w:rsid w:val="4C85706A"/>
    <w:rsid w:val="4C885E9F"/>
    <w:rsid w:val="4C8E5FF6"/>
    <w:rsid w:val="4CA57814"/>
    <w:rsid w:val="4CB070AF"/>
    <w:rsid w:val="4CB4456A"/>
    <w:rsid w:val="4CBC5F6C"/>
    <w:rsid w:val="4CC71203"/>
    <w:rsid w:val="4CD70354"/>
    <w:rsid w:val="4D0F01CA"/>
    <w:rsid w:val="4D171E27"/>
    <w:rsid w:val="4D1D271C"/>
    <w:rsid w:val="4D330863"/>
    <w:rsid w:val="4D3E6A52"/>
    <w:rsid w:val="4D6F3140"/>
    <w:rsid w:val="4D833619"/>
    <w:rsid w:val="4D9C08E0"/>
    <w:rsid w:val="4DB946E5"/>
    <w:rsid w:val="4DC85592"/>
    <w:rsid w:val="4DC974FC"/>
    <w:rsid w:val="4DCA2651"/>
    <w:rsid w:val="4DCE5F5F"/>
    <w:rsid w:val="4DEA49EA"/>
    <w:rsid w:val="4DEC33FC"/>
    <w:rsid w:val="4E063825"/>
    <w:rsid w:val="4E0A1EFC"/>
    <w:rsid w:val="4E3113F2"/>
    <w:rsid w:val="4E455504"/>
    <w:rsid w:val="4E7E543D"/>
    <w:rsid w:val="4E823055"/>
    <w:rsid w:val="4E8E5E30"/>
    <w:rsid w:val="4E98704C"/>
    <w:rsid w:val="4EB262C0"/>
    <w:rsid w:val="4EB33649"/>
    <w:rsid w:val="4EEF0743"/>
    <w:rsid w:val="4EFD4933"/>
    <w:rsid w:val="4F0F0F08"/>
    <w:rsid w:val="4F711134"/>
    <w:rsid w:val="4FB410AD"/>
    <w:rsid w:val="4FFF539C"/>
    <w:rsid w:val="5006529A"/>
    <w:rsid w:val="500C7AB9"/>
    <w:rsid w:val="50110D78"/>
    <w:rsid w:val="50231AA3"/>
    <w:rsid w:val="504A2ADD"/>
    <w:rsid w:val="5060304C"/>
    <w:rsid w:val="5061724C"/>
    <w:rsid w:val="50AA36E0"/>
    <w:rsid w:val="50AE6606"/>
    <w:rsid w:val="50E63666"/>
    <w:rsid w:val="50EC3059"/>
    <w:rsid w:val="519611B1"/>
    <w:rsid w:val="51C92E73"/>
    <w:rsid w:val="52161328"/>
    <w:rsid w:val="522C54FE"/>
    <w:rsid w:val="523E3D8C"/>
    <w:rsid w:val="524A4C06"/>
    <w:rsid w:val="525B5AA9"/>
    <w:rsid w:val="52603955"/>
    <w:rsid w:val="52972888"/>
    <w:rsid w:val="52AB2167"/>
    <w:rsid w:val="52AC506F"/>
    <w:rsid w:val="52CC3259"/>
    <w:rsid w:val="52DC7ADA"/>
    <w:rsid w:val="52EE16A6"/>
    <w:rsid w:val="52EE4555"/>
    <w:rsid w:val="530F7F4A"/>
    <w:rsid w:val="535449BE"/>
    <w:rsid w:val="53580116"/>
    <w:rsid w:val="53716767"/>
    <w:rsid w:val="53765375"/>
    <w:rsid w:val="53A7323B"/>
    <w:rsid w:val="53B44984"/>
    <w:rsid w:val="53B73D24"/>
    <w:rsid w:val="53DE30B3"/>
    <w:rsid w:val="53E82400"/>
    <w:rsid w:val="53F5446E"/>
    <w:rsid w:val="541115C4"/>
    <w:rsid w:val="54421842"/>
    <w:rsid w:val="54566DBB"/>
    <w:rsid w:val="54697F44"/>
    <w:rsid w:val="546F7B53"/>
    <w:rsid w:val="54783BB9"/>
    <w:rsid w:val="54E0593D"/>
    <w:rsid w:val="551C775D"/>
    <w:rsid w:val="553F0A67"/>
    <w:rsid w:val="55402FB8"/>
    <w:rsid w:val="555464AA"/>
    <w:rsid w:val="555A05A2"/>
    <w:rsid w:val="55943D4D"/>
    <w:rsid w:val="55AD79E6"/>
    <w:rsid w:val="55DB4F23"/>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A0C7E"/>
    <w:rsid w:val="57772E27"/>
    <w:rsid w:val="57BF5269"/>
    <w:rsid w:val="5803146B"/>
    <w:rsid w:val="583D527E"/>
    <w:rsid w:val="58421D79"/>
    <w:rsid w:val="584256A6"/>
    <w:rsid w:val="589318F2"/>
    <w:rsid w:val="589755E4"/>
    <w:rsid w:val="58987A5C"/>
    <w:rsid w:val="58D06CE7"/>
    <w:rsid w:val="58D07D35"/>
    <w:rsid w:val="58DD0FB2"/>
    <w:rsid w:val="58EE7873"/>
    <w:rsid w:val="58EF2B3F"/>
    <w:rsid w:val="5915197D"/>
    <w:rsid w:val="59300B63"/>
    <w:rsid w:val="59444D5E"/>
    <w:rsid w:val="5980650D"/>
    <w:rsid w:val="598F33C5"/>
    <w:rsid w:val="5990466F"/>
    <w:rsid w:val="59EB7B18"/>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61C66"/>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1B684A"/>
    <w:rsid w:val="5D25594A"/>
    <w:rsid w:val="5D46671A"/>
    <w:rsid w:val="5D5061F6"/>
    <w:rsid w:val="5D7063F7"/>
    <w:rsid w:val="5D770DC5"/>
    <w:rsid w:val="5D8777FB"/>
    <w:rsid w:val="5D887595"/>
    <w:rsid w:val="5DA14140"/>
    <w:rsid w:val="5DA6621F"/>
    <w:rsid w:val="5DC6253E"/>
    <w:rsid w:val="5DF11AD5"/>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63A07"/>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4219D4"/>
    <w:rsid w:val="624B31E8"/>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743AB"/>
    <w:rsid w:val="640A4811"/>
    <w:rsid w:val="642C4BC8"/>
    <w:rsid w:val="64407BFB"/>
    <w:rsid w:val="64580460"/>
    <w:rsid w:val="6468704A"/>
    <w:rsid w:val="64700C9D"/>
    <w:rsid w:val="647C1DB2"/>
    <w:rsid w:val="64B62D00"/>
    <w:rsid w:val="64C15C8A"/>
    <w:rsid w:val="64E8140A"/>
    <w:rsid w:val="64FB4868"/>
    <w:rsid w:val="64FB76AD"/>
    <w:rsid w:val="6508244C"/>
    <w:rsid w:val="650B2B24"/>
    <w:rsid w:val="65164170"/>
    <w:rsid w:val="651E2D4A"/>
    <w:rsid w:val="652C38CB"/>
    <w:rsid w:val="656D2AA1"/>
    <w:rsid w:val="657966D6"/>
    <w:rsid w:val="65C021EE"/>
    <w:rsid w:val="65ED42ED"/>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A313E9"/>
    <w:rsid w:val="68BE1513"/>
    <w:rsid w:val="691E1864"/>
    <w:rsid w:val="6945758D"/>
    <w:rsid w:val="695B08E4"/>
    <w:rsid w:val="697A7BC6"/>
    <w:rsid w:val="69A17E74"/>
    <w:rsid w:val="69A736F2"/>
    <w:rsid w:val="6A6148DC"/>
    <w:rsid w:val="6A622CA8"/>
    <w:rsid w:val="6A7470A3"/>
    <w:rsid w:val="6A81338F"/>
    <w:rsid w:val="6AA8243F"/>
    <w:rsid w:val="6AAB7162"/>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B481B"/>
    <w:rsid w:val="6C4B6345"/>
    <w:rsid w:val="6CA56566"/>
    <w:rsid w:val="6CB6087E"/>
    <w:rsid w:val="6D005DA3"/>
    <w:rsid w:val="6D0E4BFD"/>
    <w:rsid w:val="6D830B7D"/>
    <w:rsid w:val="6D9914F3"/>
    <w:rsid w:val="6DD14EB6"/>
    <w:rsid w:val="6E0779B6"/>
    <w:rsid w:val="6E3F02ED"/>
    <w:rsid w:val="6E44547D"/>
    <w:rsid w:val="6E5A3889"/>
    <w:rsid w:val="6E671002"/>
    <w:rsid w:val="6E866A33"/>
    <w:rsid w:val="6E96509E"/>
    <w:rsid w:val="6E9817E3"/>
    <w:rsid w:val="6ECA3397"/>
    <w:rsid w:val="6ED9448F"/>
    <w:rsid w:val="6EDA2090"/>
    <w:rsid w:val="6EE21295"/>
    <w:rsid w:val="6EF709D3"/>
    <w:rsid w:val="6EFE5D0F"/>
    <w:rsid w:val="6F0B7C94"/>
    <w:rsid w:val="6F227EA1"/>
    <w:rsid w:val="6F2F4126"/>
    <w:rsid w:val="6F396F64"/>
    <w:rsid w:val="6F516762"/>
    <w:rsid w:val="6F6E5034"/>
    <w:rsid w:val="6F814D09"/>
    <w:rsid w:val="6FAD2D94"/>
    <w:rsid w:val="6FBF1882"/>
    <w:rsid w:val="6FC40412"/>
    <w:rsid w:val="6FC512C7"/>
    <w:rsid w:val="6FDD529B"/>
    <w:rsid w:val="6FF72C1C"/>
    <w:rsid w:val="704B27CA"/>
    <w:rsid w:val="70517453"/>
    <w:rsid w:val="70906757"/>
    <w:rsid w:val="70DC17CE"/>
    <w:rsid w:val="70EB650A"/>
    <w:rsid w:val="70F23D09"/>
    <w:rsid w:val="710E48BB"/>
    <w:rsid w:val="7122764C"/>
    <w:rsid w:val="71266898"/>
    <w:rsid w:val="712C426F"/>
    <w:rsid w:val="713D06C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82152E"/>
    <w:rsid w:val="72E71B23"/>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255AF"/>
    <w:rsid w:val="74263A6C"/>
    <w:rsid w:val="742D56D4"/>
    <w:rsid w:val="745D20F1"/>
    <w:rsid w:val="74785185"/>
    <w:rsid w:val="74A06C82"/>
    <w:rsid w:val="74B13AC0"/>
    <w:rsid w:val="74C645B6"/>
    <w:rsid w:val="74D71A77"/>
    <w:rsid w:val="74E41E3F"/>
    <w:rsid w:val="74F76549"/>
    <w:rsid w:val="75006A13"/>
    <w:rsid w:val="75143C10"/>
    <w:rsid w:val="751E3E47"/>
    <w:rsid w:val="753C2ACE"/>
    <w:rsid w:val="753E6CEC"/>
    <w:rsid w:val="7553542F"/>
    <w:rsid w:val="7554378C"/>
    <w:rsid w:val="75560F56"/>
    <w:rsid w:val="755D28D9"/>
    <w:rsid w:val="756C2266"/>
    <w:rsid w:val="7577343F"/>
    <w:rsid w:val="75934E57"/>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7147463"/>
    <w:rsid w:val="772341DE"/>
    <w:rsid w:val="77266ECD"/>
    <w:rsid w:val="77274014"/>
    <w:rsid w:val="772E60A5"/>
    <w:rsid w:val="772F49B7"/>
    <w:rsid w:val="775B3643"/>
    <w:rsid w:val="7775620B"/>
    <w:rsid w:val="777E15A5"/>
    <w:rsid w:val="777E76EA"/>
    <w:rsid w:val="77DF669D"/>
    <w:rsid w:val="77E6256B"/>
    <w:rsid w:val="780178D3"/>
    <w:rsid w:val="78101057"/>
    <w:rsid w:val="78270079"/>
    <w:rsid w:val="785F2C67"/>
    <w:rsid w:val="789B03CD"/>
    <w:rsid w:val="78AF50A2"/>
    <w:rsid w:val="78BB50B5"/>
    <w:rsid w:val="78D53072"/>
    <w:rsid w:val="78E72717"/>
    <w:rsid w:val="78FA33E7"/>
    <w:rsid w:val="790229FE"/>
    <w:rsid w:val="79071BED"/>
    <w:rsid w:val="79134DAF"/>
    <w:rsid w:val="791A2350"/>
    <w:rsid w:val="791F10DC"/>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3B60F8"/>
    <w:rsid w:val="7A423EEC"/>
    <w:rsid w:val="7A703649"/>
    <w:rsid w:val="7AA4325F"/>
    <w:rsid w:val="7AB65128"/>
    <w:rsid w:val="7ABE3508"/>
    <w:rsid w:val="7AD60649"/>
    <w:rsid w:val="7ADA0531"/>
    <w:rsid w:val="7B1B4CE1"/>
    <w:rsid w:val="7B2E7ECD"/>
    <w:rsid w:val="7B305576"/>
    <w:rsid w:val="7B396537"/>
    <w:rsid w:val="7B756D19"/>
    <w:rsid w:val="7BA25186"/>
    <w:rsid w:val="7BAC3172"/>
    <w:rsid w:val="7BCA6449"/>
    <w:rsid w:val="7BEA37FA"/>
    <w:rsid w:val="7BF969EC"/>
    <w:rsid w:val="7C0569B5"/>
    <w:rsid w:val="7C14258F"/>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B71685"/>
    <w:rsid w:val="7EC520CE"/>
    <w:rsid w:val="7ECD592F"/>
    <w:rsid w:val="7EEC24B0"/>
    <w:rsid w:val="7EF40344"/>
    <w:rsid w:val="7EF85335"/>
    <w:rsid w:val="7EFC617C"/>
    <w:rsid w:val="7F3D5AF2"/>
    <w:rsid w:val="7F4133F6"/>
    <w:rsid w:val="7F8015A7"/>
    <w:rsid w:val="7F834860"/>
    <w:rsid w:val="7F9B1826"/>
    <w:rsid w:val="7FA41788"/>
    <w:rsid w:val="7FC91E5B"/>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autoRedefine/>
    <w:qFormat/>
    <w:uiPriority w:val="0"/>
    <w:pPr>
      <w:spacing w:before="340" w:after="330" w:line="578" w:lineRule="auto"/>
      <w:outlineLvl w:val="0"/>
    </w:pPr>
    <w:rPr>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ind w:firstLine="420" w:firstLineChars="100"/>
    </w:pPr>
  </w:style>
  <w:style w:type="paragraph" w:styleId="3">
    <w:name w:val="Body Text"/>
    <w:basedOn w:val="1"/>
    <w:next w:val="1"/>
    <w:qFormat/>
    <w:uiPriority w:val="0"/>
    <w:pPr>
      <w:spacing w:line="360" w:lineRule="auto"/>
    </w:pPr>
    <w:rPr>
      <w:szCs w:val="20"/>
    </w:rPr>
  </w:style>
  <w:style w:type="paragraph" w:styleId="8">
    <w:name w:val="Normal Indent"/>
    <w:basedOn w:val="1"/>
    <w:autoRedefine/>
    <w:qFormat/>
    <w:uiPriority w:val="0"/>
    <w:pPr>
      <w:ind w:firstLine="420"/>
    </w:pPr>
    <w:rPr>
      <w:szCs w:val="20"/>
    </w:rPr>
  </w:style>
  <w:style w:type="paragraph" w:styleId="10">
    <w:name w:val="caption"/>
    <w:basedOn w:val="1"/>
    <w:next w:val="1"/>
    <w:autoRedefine/>
    <w:qFormat/>
    <w:uiPriority w:val="0"/>
    <w:rPr>
      <w:rFonts w:ascii="Arial" w:hAnsi="Arial" w:eastAsia="黑体" w:cs="Arial"/>
      <w:sz w:val="20"/>
      <w:szCs w:val="20"/>
    </w:rPr>
  </w:style>
  <w:style w:type="paragraph" w:styleId="11">
    <w:name w:val="Document Map"/>
    <w:basedOn w:val="1"/>
    <w:link w:val="40"/>
    <w:autoRedefine/>
    <w:qFormat/>
    <w:uiPriority w:val="0"/>
    <w:rPr>
      <w:rFonts w:ascii="宋体"/>
      <w:sz w:val="24"/>
    </w:rPr>
  </w:style>
  <w:style w:type="paragraph" w:styleId="12">
    <w:name w:val="annotation text"/>
    <w:basedOn w:val="1"/>
    <w:link w:val="41"/>
    <w:autoRedefine/>
    <w:qFormat/>
    <w:uiPriority w:val="99"/>
    <w:pPr>
      <w:widowControl/>
      <w:jc w:val="left"/>
    </w:pPr>
    <w:rPr>
      <w:kern w:val="0"/>
      <w:szCs w:val="20"/>
    </w:rPr>
  </w:style>
  <w:style w:type="paragraph" w:styleId="13">
    <w:name w:val="Body Text 3"/>
    <w:basedOn w:val="1"/>
    <w:autoRedefine/>
    <w:qFormat/>
    <w:uiPriority w:val="0"/>
    <w:pPr>
      <w:spacing w:after="120"/>
    </w:pPr>
    <w:rPr>
      <w:sz w:val="16"/>
      <w:szCs w:val="16"/>
    </w:rPr>
  </w:style>
  <w:style w:type="paragraph" w:styleId="14">
    <w:name w:val="Body Text Indent"/>
    <w:basedOn w:val="1"/>
    <w:autoRedefine/>
    <w:qFormat/>
    <w:uiPriority w:val="0"/>
    <w:pPr>
      <w:spacing w:line="360" w:lineRule="auto"/>
      <w:ind w:left="608" w:hanging="608"/>
    </w:pPr>
    <w:rPr>
      <w:rFonts w:ascii="宋体"/>
      <w:sz w:val="28"/>
    </w:rPr>
  </w:style>
  <w:style w:type="paragraph" w:styleId="15">
    <w:name w:val="toc 5"/>
    <w:basedOn w:val="1"/>
    <w:next w:val="1"/>
    <w:autoRedefine/>
    <w:qFormat/>
    <w:uiPriority w:val="0"/>
    <w:pPr>
      <w:ind w:left="1680"/>
    </w:pPr>
  </w:style>
  <w:style w:type="paragraph" w:styleId="16">
    <w:name w:val="toc 3"/>
    <w:basedOn w:val="1"/>
    <w:next w:val="1"/>
    <w:autoRedefine/>
    <w:qFormat/>
    <w:uiPriority w:val="39"/>
    <w:pPr>
      <w:ind w:left="840" w:leftChars="400"/>
    </w:pPr>
  </w:style>
  <w:style w:type="paragraph" w:styleId="17">
    <w:name w:val="Plain Text"/>
    <w:basedOn w:val="1"/>
    <w:next w:val="1"/>
    <w:autoRedefine/>
    <w:qFormat/>
    <w:uiPriority w:val="0"/>
    <w:rPr>
      <w:rFonts w:ascii="宋体" w:hAnsi="Courier New" w:cs="Courier New"/>
      <w:szCs w:val="21"/>
    </w:rPr>
  </w:style>
  <w:style w:type="paragraph" w:styleId="18">
    <w:name w:val="Date"/>
    <w:basedOn w:val="1"/>
    <w:next w:val="1"/>
    <w:autoRedefine/>
    <w:qFormat/>
    <w:uiPriority w:val="0"/>
    <w:pPr>
      <w:autoSpaceDE w:val="0"/>
      <w:autoSpaceDN w:val="0"/>
      <w:adjustRightInd w:val="0"/>
      <w:textAlignment w:val="baseline"/>
    </w:pPr>
    <w:rPr>
      <w:rFonts w:ascii="宋体"/>
      <w:sz w:val="28"/>
    </w:rPr>
  </w:style>
  <w:style w:type="paragraph" w:styleId="19">
    <w:name w:val="Body Text Indent 2"/>
    <w:basedOn w:val="1"/>
    <w:autoRedefine/>
    <w:unhideWhenUsed/>
    <w:qFormat/>
    <w:uiPriority w:val="99"/>
    <w:pPr>
      <w:spacing w:after="120" w:line="480" w:lineRule="auto"/>
      <w:ind w:left="420" w:leftChars="200"/>
    </w:pPr>
  </w:style>
  <w:style w:type="paragraph" w:styleId="20">
    <w:name w:val="Balloon Text"/>
    <w:basedOn w:val="1"/>
    <w:link w:val="42"/>
    <w:autoRedefine/>
    <w:qFormat/>
    <w:uiPriority w:val="0"/>
    <w:rPr>
      <w:sz w:val="18"/>
      <w:szCs w:val="18"/>
    </w:r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9540"/>
      </w:tabs>
      <w:spacing w:line="360" w:lineRule="auto"/>
      <w:ind w:right="430" w:rightChars="205"/>
    </w:pPr>
    <w:rPr>
      <w:rFonts w:ascii="宋体" w:hAnsi="宋体"/>
      <w:b/>
      <w:kern w:val="0"/>
      <w:sz w:val="28"/>
      <w:szCs w:val="28"/>
    </w:rPr>
  </w:style>
  <w:style w:type="paragraph" w:styleId="24">
    <w:name w:val="index heading"/>
    <w:basedOn w:val="1"/>
    <w:next w:val="25"/>
    <w:autoRedefine/>
    <w:semiHidden/>
    <w:qFormat/>
    <w:uiPriority w:val="0"/>
    <w:rPr>
      <w:szCs w:val="20"/>
    </w:rPr>
  </w:style>
  <w:style w:type="paragraph" w:styleId="25">
    <w:name w:val="index 1"/>
    <w:basedOn w:val="1"/>
    <w:next w:val="1"/>
    <w:autoRedefine/>
    <w:semiHidden/>
    <w:qFormat/>
    <w:uiPriority w:val="0"/>
  </w:style>
  <w:style w:type="paragraph" w:styleId="26">
    <w:name w:val="toc 6"/>
    <w:basedOn w:val="1"/>
    <w:next w:val="1"/>
    <w:autoRedefine/>
    <w:qFormat/>
    <w:uiPriority w:val="99"/>
    <w:pPr>
      <w:ind w:left="2100" w:leftChars="1000"/>
    </w:pPr>
    <w:rPr>
      <w:rFonts w:ascii="Calibri" w:hAnsi="Calibri"/>
      <w:szCs w:val="22"/>
    </w:rPr>
  </w:style>
  <w:style w:type="paragraph" w:styleId="27">
    <w:name w:val="Body Text Indent 3"/>
    <w:basedOn w:val="1"/>
    <w:autoRedefine/>
    <w:qFormat/>
    <w:uiPriority w:val="0"/>
    <w:pPr>
      <w:spacing w:line="360" w:lineRule="auto"/>
      <w:ind w:firstLine="420" w:firstLineChars="200"/>
    </w:pPr>
    <w:rPr>
      <w:szCs w:val="20"/>
    </w:rPr>
  </w:style>
  <w:style w:type="paragraph" w:styleId="28">
    <w:name w:val="toc 2"/>
    <w:basedOn w:val="1"/>
    <w:next w:val="1"/>
    <w:autoRedefine/>
    <w:qFormat/>
    <w:uiPriority w:val="39"/>
    <w:pPr>
      <w:ind w:left="420" w:leftChars="200"/>
    </w:p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0"/>
    <w:pPr>
      <w:spacing w:before="100" w:beforeAutospacing="1" w:after="100" w:afterAutospacing="1"/>
      <w:jc w:val="left"/>
    </w:pPr>
    <w:rPr>
      <w:kern w:val="0"/>
      <w:sz w:val="24"/>
    </w:rPr>
  </w:style>
  <w:style w:type="paragraph" w:styleId="31">
    <w:name w:val="annotation subject"/>
    <w:basedOn w:val="12"/>
    <w:next w:val="12"/>
    <w:link w:val="43"/>
    <w:autoRedefine/>
    <w:qFormat/>
    <w:uiPriority w:val="0"/>
    <w:pPr>
      <w:widowControl w:val="0"/>
    </w:pPr>
    <w:rPr>
      <w:b/>
      <w:bCs/>
      <w:kern w:val="2"/>
      <w:szCs w:val="24"/>
    </w:rPr>
  </w:style>
  <w:style w:type="paragraph" w:styleId="32">
    <w:name w:val="Body Text First Indent 2"/>
    <w:basedOn w:val="14"/>
    <w:autoRedefine/>
    <w:qFormat/>
    <w:uiPriority w:val="0"/>
    <w:pPr>
      <w:snapToGrid w:val="0"/>
      <w:spacing w:after="120"/>
      <w:ind w:left="420" w:firstLine="420" w:firstLineChars="200"/>
    </w:pPr>
    <w:rPr>
      <w:rFonts w:ascii="Tahoma" w:hAnsi="Tahoma"/>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文档结构图 字符"/>
    <w:link w:val="11"/>
    <w:autoRedefine/>
    <w:qFormat/>
    <w:uiPriority w:val="0"/>
    <w:rPr>
      <w:rFonts w:ascii="宋体"/>
      <w:kern w:val="2"/>
      <w:sz w:val="24"/>
      <w:szCs w:val="24"/>
    </w:rPr>
  </w:style>
  <w:style w:type="character" w:customStyle="1" w:styleId="41">
    <w:name w:val="批注文字 字符"/>
    <w:link w:val="12"/>
    <w:autoRedefine/>
    <w:qFormat/>
    <w:uiPriority w:val="99"/>
    <w:rPr>
      <w:sz w:val="21"/>
    </w:rPr>
  </w:style>
  <w:style w:type="character" w:customStyle="1" w:styleId="42">
    <w:name w:val="批注框文本 字符"/>
    <w:link w:val="20"/>
    <w:qFormat/>
    <w:uiPriority w:val="0"/>
    <w:rPr>
      <w:kern w:val="2"/>
      <w:sz w:val="18"/>
      <w:szCs w:val="18"/>
    </w:rPr>
  </w:style>
  <w:style w:type="character" w:customStyle="1" w:styleId="43">
    <w:name w:val="批注主题 字符"/>
    <w:link w:val="31"/>
    <w:autoRedefine/>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autoRedefine/>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autoRedefine/>
    <w:qFormat/>
    <w:uiPriority w:val="0"/>
    <w:pPr>
      <w:keepNext/>
      <w:keepLines/>
      <w:widowControl/>
      <w:jc w:val="center"/>
    </w:pPr>
    <w:rPr>
      <w:rFonts w:ascii="Calibri" w:hAnsi="Calibri" w:cs="Calibri"/>
      <w:kern w:val="0"/>
      <w:sz w:val="24"/>
      <w:lang w:eastAsia="en-US" w:bidi="en-US"/>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autoRedefine/>
    <w:qFormat/>
    <w:uiPriority w:val="0"/>
    <w:rPr>
      <w:rFonts w:ascii="Arial" w:hAnsi="Arial" w:cs="Arial"/>
      <w:bCs/>
      <w:sz w:val="24"/>
    </w:rPr>
  </w:style>
  <w:style w:type="paragraph" w:customStyle="1" w:styleId="52">
    <w:name w:val="题注5"/>
    <w:basedOn w:val="1"/>
    <w:next w:val="10"/>
    <w:autoRedefine/>
    <w:qFormat/>
    <w:uiPriority w:val="0"/>
    <w:pPr>
      <w:jc w:val="center"/>
    </w:pPr>
    <w:rPr>
      <w:b/>
      <w:color w:val="000000"/>
      <w:sz w:val="24"/>
      <w:szCs w:val="21"/>
    </w:rPr>
  </w:style>
  <w:style w:type="paragraph" w:customStyle="1" w:styleId="53">
    <w:name w:val="Table Paragraph"/>
    <w:basedOn w:val="1"/>
    <w:autoRedefine/>
    <w:qFormat/>
    <w:uiPriority w:val="1"/>
  </w:style>
  <w:style w:type="paragraph" w:styleId="54">
    <w:name w:val="List Paragraph"/>
    <w:basedOn w:val="1"/>
    <w:autoRedefine/>
    <w:qFormat/>
    <w:uiPriority w:val="34"/>
    <w:pPr>
      <w:ind w:firstLine="420" w:firstLineChars="200"/>
    </w:pPr>
  </w:style>
  <w:style w:type="paragraph" w:customStyle="1" w:styleId="55">
    <w:name w:val="索引 11"/>
    <w:basedOn w:val="1"/>
    <w:next w:val="1"/>
    <w:autoRedefine/>
    <w:qFormat/>
    <w:uiPriority w:val="0"/>
    <w:pPr>
      <w:jc w:val="center"/>
    </w:pPr>
  </w:style>
  <w:style w:type="paragraph" w:customStyle="1" w:styleId="56">
    <w:name w:val="彩色列表1"/>
    <w:basedOn w:val="1"/>
    <w:autoRedefine/>
    <w:qFormat/>
    <w:uiPriority w:val="34"/>
    <w:pPr>
      <w:ind w:firstLine="420" w:firstLineChars="200"/>
    </w:pPr>
  </w:style>
  <w:style w:type="paragraph" w:customStyle="1" w:styleId="57">
    <w:name w:val="样式 首行缩进:  0 字符"/>
    <w:basedOn w:val="1"/>
    <w:autoRedefine/>
    <w:qFormat/>
    <w:uiPriority w:val="0"/>
  </w:style>
  <w:style w:type="paragraph" w:customStyle="1" w:styleId="58">
    <w:name w:val="普通(网站)1"/>
    <w:basedOn w:val="1"/>
    <w:autoRedefine/>
    <w:qFormat/>
    <w:uiPriority w:val="0"/>
    <w:pPr>
      <w:widowControl/>
      <w:spacing w:beforeAutospacing="1" w:afterAutospacing="1"/>
      <w:jc w:val="left"/>
    </w:pPr>
    <w:rPr>
      <w:rFonts w:hAnsi="宋体" w:cs="宋体"/>
      <w:sz w:val="24"/>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3"/>
    <w:autoRedefine/>
    <w:qFormat/>
    <w:uiPriority w:val="0"/>
    <w:pPr>
      <w:spacing w:before="25" w:after="25"/>
      <w:jc w:val="left"/>
    </w:pPr>
    <w:rPr>
      <w:bCs/>
      <w:spacing w:val="10"/>
      <w:kern w:val="0"/>
      <w:sz w:val="24"/>
      <w:szCs w:val="20"/>
    </w:rPr>
  </w:style>
  <w:style w:type="paragraph" w:customStyle="1" w:styleId="61">
    <w:name w:val="p0"/>
    <w:basedOn w:val="1"/>
    <w:autoRedefine/>
    <w:qFormat/>
    <w:uiPriority w:val="0"/>
    <w:rPr>
      <w:szCs w:val="21"/>
    </w:rPr>
  </w:style>
  <w:style w:type="paragraph" w:customStyle="1" w:styleId="62">
    <w:name w:val="Char Char Char Char"/>
    <w:basedOn w:val="1"/>
    <w:autoRedefine/>
    <w:qFormat/>
    <w:uiPriority w:val="0"/>
    <w:rPr>
      <w:rFonts w:ascii="Tahoma" w:hAnsi="Tahoma"/>
      <w:sz w:val="24"/>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autoRedefine/>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6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标题1"/>
    <w:basedOn w:val="1"/>
    <w:autoRedefine/>
    <w:qFormat/>
    <w:uiPriority w:val="0"/>
    <w:pPr>
      <w:widowControl/>
      <w:spacing w:line="360" w:lineRule="auto"/>
      <w:jc w:val="center"/>
    </w:pPr>
    <w:rPr>
      <w:rFonts w:ascii="黑体" w:eastAsia="黑体"/>
      <w:b/>
      <w:kern w:val="0"/>
      <w:sz w:val="44"/>
      <w:szCs w:val="20"/>
    </w:rPr>
  </w:style>
  <w:style w:type="paragraph" w:customStyle="1" w:styleId="69">
    <w:name w:val="_Style 6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autoRedefine/>
    <w:qFormat/>
    <w:uiPriority w:val="0"/>
    <w:pPr>
      <w:spacing w:line="360" w:lineRule="auto"/>
      <w:ind w:firstLine="200" w:firstLineChars="200"/>
    </w:pPr>
    <w:rPr>
      <w:rFonts w:ascii="Arial" w:hAnsi="Arial"/>
      <w:b/>
      <w:sz w:val="24"/>
    </w:rPr>
  </w:style>
  <w:style w:type="paragraph" w:customStyle="1" w:styleId="71">
    <w:name w:val="正文（缩进）"/>
    <w:basedOn w:val="1"/>
    <w:autoRedefine/>
    <w:qFormat/>
    <w:uiPriority w:val="0"/>
    <w:pPr>
      <w:spacing w:beforeLines="50" w:afterLines="50"/>
      <w:ind w:firstLine="480" w:firstLineChars="200"/>
    </w:pPr>
  </w:style>
  <w:style w:type="paragraph" w:customStyle="1" w:styleId="72">
    <w:name w:val="预审2"/>
    <w:basedOn w:val="1"/>
    <w:autoRedefine/>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autoRedefine/>
    <w:semiHidden/>
    <w:qFormat/>
    <w:uiPriority w:val="0"/>
  </w:style>
  <w:style w:type="paragraph" w:customStyle="1" w:styleId="74">
    <w:name w:val="列出段落2"/>
    <w:basedOn w:val="1"/>
    <w:autoRedefine/>
    <w:qFormat/>
    <w:uiPriority w:val="34"/>
    <w:pPr>
      <w:jc w:val="left"/>
    </w:pPr>
  </w:style>
  <w:style w:type="paragraph" w:customStyle="1" w:styleId="7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5988</Words>
  <Characters>6268</Characters>
  <Lines>51</Lines>
  <Paragraphs>14</Paragraphs>
  <TotalTime>7</TotalTime>
  <ScaleCrop>false</ScaleCrop>
  <LinksUpToDate>false</LinksUpToDate>
  <CharactersWithSpaces>6536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Yves-羽腾 </cp:lastModifiedBy>
  <cp:lastPrinted>2024-01-05T06:18:00Z</cp:lastPrinted>
  <dcterms:modified xsi:type="dcterms:W3CDTF">2024-02-29T07:00:44Z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37D2E60811B645F4B1DC7D7D1E3C19B9_13</vt:lpwstr>
  </property>
</Properties>
</file>