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622E6">
      <w:pPr>
        <w:jc w:val="center"/>
        <w:rPr>
          <w:rFonts w:hint="eastAsia" w:hAnsi="宋体" w:cs="宋体"/>
          <w:b/>
          <w:bCs/>
          <w:sz w:val="44"/>
          <w:szCs w:val="44"/>
          <w:highlight w:val="none"/>
        </w:rPr>
      </w:pPr>
      <w:r>
        <w:rPr>
          <w:rFonts w:hint="eastAsia" w:hAnsi="宋体" w:cs="宋体"/>
          <w:b/>
          <w:bCs/>
          <w:sz w:val="44"/>
          <w:szCs w:val="44"/>
          <w:highlight w:val="none"/>
        </w:rPr>
        <w:t>中山市公共交通运输集团有限公司</w:t>
      </w:r>
    </w:p>
    <w:p w14:paraId="5110BEF4">
      <w:pPr>
        <w:jc w:val="center"/>
        <w:rPr>
          <w:rFonts w:hint="default" w:hAnsi="宋体" w:eastAsia="宋体" w:cs="宋体"/>
          <w:b/>
          <w:bCs/>
          <w:sz w:val="44"/>
          <w:szCs w:val="44"/>
          <w:highlight w:val="none"/>
          <w:lang w:val="en-US" w:eastAsia="zh-CN"/>
        </w:rPr>
      </w:pPr>
      <w:r>
        <w:rPr>
          <w:rFonts w:hint="eastAsia" w:hAnsi="宋体" w:cs="宋体"/>
          <w:b/>
          <w:bCs/>
          <w:i w:val="0"/>
          <w:caps w:val="0"/>
          <w:color w:val="auto"/>
          <w:spacing w:val="0"/>
          <w:kern w:val="2"/>
          <w:sz w:val="44"/>
          <w:szCs w:val="44"/>
          <w:highlight w:val="none"/>
          <w:shd w:val="clear" w:color="auto" w:fill="auto"/>
          <w:lang w:val="en-US" w:eastAsia="zh-CN"/>
        </w:rPr>
        <w:t>2026年</w:t>
      </w:r>
      <w:r>
        <w:rPr>
          <w:rFonts w:hint="eastAsia" w:ascii="Times New Roman" w:hAnsi="宋体" w:eastAsia="宋体" w:cs="宋体"/>
          <w:b/>
          <w:bCs/>
          <w:i w:val="0"/>
          <w:caps w:val="0"/>
          <w:color w:val="auto"/>
          <w:spacing w:val="0"/>
          <w:kern w:val="2"/>
          <w:sz w:val="44"/>
          <w:szCs w:val="44"/>
          <w:highlight w:val="none"/>
          <w:shd w:val="clear" w:color="auto" w:fill="auto"/>
          <w:lang w:val="en-US" w:eastAsia="zh-CN"/>
        </w:rPr>
        <w:t>电力市场交易</w:t>
      </w:r>
      <w:r>
        <w:rPr>
          <w:rFonts w:hint="eastAsia" w:hAnsi="宋体" w:cs="宋体"/>
          <w:b/>
          <w:bCs/>
          <w:i w:val="0"/>
          <w:caps w:val="0"/>
          <w:color w:val="auto"/>
          <w:spacing w:val="0"/>
          <w:kern w:val="2"/>
          <w:sz w:val="44"/>
          <w:szCs w:val="44"/>
          <w:highlight w:val="none"/>
          <w:shd w:val="clear" w:color="auto" w:fill="auto"/>
          <w:lang w:val="en-US" w:eastAsia="zh-CN"/>
        </w:rPr>
        <w:t>售电</w:t>
      </w:r>
      <w:r>
        <w:rPr>
          <w:rFonts w:hint="eastAsia" w:ascii="Times New Roman" w:hAnsi="宋体" w:eastAsia="宋体" w:cs="宋体"/>
          <w:b/>
          <w:bCs/>
          <w:i w:val="0"/>
          <w:caps w:val="0"/>
          <w:color w:val="auto"/>
          <w:spacing w:val="0"/>
          <w:kern w:val="2"/>
          <w:sz w:val="44"/>
          <w:szCs w:val="44"/>
          <w:highlight w:val="none"/>
          <w:shd w:val="clear" w:color="auto" w:fill="auto"/>
          <w:lang w:val="en-US" w:eastAsia="zh-CN"/>
        </w:rPr>
        <w:t>代理</w:t>
      </w:r>
      <w:r>
        <w:rPr>
          <w:rFonts w:hint="eastAsia" w:hAnsi="宋体" w:cs="宋体"/>
          <w:b/>
          <w:bCs/>
          <w:sz w:val="44"/>
          <w:szCs w:val="44"/>
          <w:highlight w:val="none"/>
        </w:rPr>
        <w:t>项目</w:t>
      </w:r>
    </w:p>
    <w:p w14:paraId="520BFA98">
      <w:pPr>
        <w:spacing w:line="360" w:lineRule="auto"/>
        <w:jc w:val="center"/>
        <w:rPr>
          <w:rFonts w:hint="eastAsia" w:hAnsi="宋体" w:cs="黑体"/>
          <w:b/>
          <w:bCs/>
          <w:sz w:val="72"/>
          <w:szCs w:val="72"/>
          <w:highlight w:val="none"/>
        </w:rPr>
      </w:pPr>
    </w:p>
    <w:p w14:paraId="615F692D">
      <w:pPr>
        <w:spacing w:line="360" w:lineRule="auto"/>
        <w:jc w:val="center"/>
        <w:rPr>
          <w:rFonts w:hint="eastAsia" w:hAnsi="宋体" w:cs="黑体"/>
          <w:b/>
          <w:bCs/>
          <w:sz w:val="72"/>
          <w:szCs w:val="72"/>
          <w:highlight w:val="none"/>
        </w:rPr>
      </w:pPr>
    </w:p>
    <w:p w14:paraId="747929AF">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评</w:t>
      </w:r>
    </w:p>
    <w:p w14:paraId="67ED8796">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选</w:t>
      </w:r>
    </w:p>
    <w:p w14:paraId="6296C9CB">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文</w:t>
      </w:r>
    </w:p>
    <w:p w14:paraId="0D75A81B">
      <w:pPr>
        <w:spacing w:line="360" w:lineRule="auto"/>
        <w:ind w:firstLine="0" w:firstLineChars="0"/>
        <w:jc w:val="center"/>
        <w:rPr>
          <w:rFonts w:hint="eastAsia" w:hAnsi="宋体" w:cs="黑体"/>
          <w:b/>
          <w:bCs/>
          <w:sz w:val="72"/>
          <w:szCs w:val="72"/>
          <w:highlight w:val="none"/>
        </w:rPr>
      </w:pPr>
      <w:r>
        <w:rPr>
          <w:rFonts w:hint="eastAsia" w:hAnsi="宋体" w:cs="黑体"/>
          <w:b/>
          <w:bCs/>
          <w:sz w:val="72"/>
          <w:szCs w:val="72"/>
          <w:highlight w:val="none"/>
        </w:rPr>
        <w:t>件</w:t>
      </w:r>
    </w:p>
    <w:p w14:paraId="708476E2">
      <w:pPr>
        <w:spacing w:line="360" w:lineRule="auto"/>
        <w:rPr>
          <w:rFonts w:hint="eastAsia" w:hAnsi="宋体" w:cs="黑体"/>
          <w:bCs/>
          <w:szCs w:val="24"/>
          <w:highlight w:val="none"/>
        </w:rPr>
      </w:pPr>
    </w:p>
    <w:p w14:paraId="719EABE0">
      <w:pPr>
        <w:spacing w:line="360" w:lineRule="auto"/>
        <w:rPr>
          <w:rFonts w:hint="eastAsia" w:hAnsi="宋体" w:cs="黑体"/>
          <w:szCs w:val="24"/>
          <w:highlight w:val="none"/>
        </w:rPr>
      </w:pPr>
    </w:p>
    <w:p w14:paraId="75B15ED9">
      <w:pPr>
        <w:spacing w:line="360" w:lineRule="auto"/>
        <w:rPr>
          <w:rFonts w:hint="eastAsia" w:hAnsi="宋体" w:cs="黑体"/>
          <w:szCs w:val="24"/>
          <w:highlight w:val="none"/>
        </w:rPr>
      </w:pPr>
    </w:p>
    <w:p w14:paraId="753D2F44">
      <w:pPr>
        <w:pStyle w:val="7"/>
        <w:rPr>
          <w:rFonts w:hint="eastAsia"/>
          <w:highlight w:val="none"/>
        </w:rPr>
      </w:pPr>
    </w:p>
    <w:p w14:paraId="0BBFD171">
      <w:pPr>
        <w:pStyle w:val="7"/>
        <w:rPr>
          <w:rFonts w:hint="eastAsia"/>
          <w:highlight w:val="none"/>
        </w:rPr>
      </w:pPr>
    </w:p>
    <w:p w14:paraId="2C17E351">
      <w:pPr>
        <w:pStyle w:val="7"/>
        <w:rPr>
          <w:rFonts w:hint="eastAsia"/>
          <w:highlight w:val="none"/>
        </w:rPr>
      </w:pPr>
    </w:p>
    <w:p w14:paraId="53D6A430">
      <w:pPr>
        <w:pStyle w:val="7"/>
        <w:rPr>
          <w:rFonts w:hint="eastAsia"/>
          <w:highlight w:val="none"/>
        </w:rPr>
      </w:pPr>
    </w:p>
    <w:p w14:paraId="5F513677">
      <w:pPr>
        <w:spacing w:line="360" w:lineRule="auto"/>
        <w:jc w:val="center"/>
        <w:rPr>
          <w:rFonts w:hint="eastAsia" w:ascii="宋体" w:hAnsi="宋体" w:eastAsia="宋体" w:cs="宋体"/>
          <w:sz w:val="32"/>
          <w:szCs w:val="32"/>
          <w:highlight w:val="none"/>
        </w:rPr>
      </w:pPr>
    </w:p>
    <w:p w14:paraId="649E1AF6">
      <w:pPr>
        <w:spacing w:line="360" w:lineRule="auto"/>
        <w:jc w:val="center"/>
        <w:rPr>
          <w:rFonts w:hint="eastAsia" w:ascii="宋体" w:hAnsi="宋体" w:eastAsia="宋体" w:cs="宋体"/>
          <w:sz w:val="32"/>
          <w:szCs w:val="32"/>
          <w:highlight w:val="none"/>
        </w:rPr>
      </w:pPr>
    </w:p>
    <w:p w14:paraId="5A8F70A0">
      <w:pPr>
        <w:spacing w:line="360" w:lineRule="auto"/>
        <w:jc w:val="center"/>
        <w:rPr>
          <w:rFonts w:hint="eastAsia" w:ascii="宋体" w:hAnsi="宋体" w:eastAsia="宋体" w:cs="宋体"/>
          <w:sz w:val="32"/>
          <w:szCs w:val="32"/>
          <w:highlight w:val="none"/>
        </w:rPr>
      </w:pPr>
    </w:p>
    <w:p w14:paraId="06EECEA2">
      <w:pPr>
        <w:spacing w:line="360" w:lineRule="auto"/>
        <w:ind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中山市公共交通运输集团有限公司</w:t>
      </w:r>
    </w:p>
    <w:p w14:paraId="3B351DD0">
      <w:pPr>
        <w:spacing w:line="360" w:lineRule="auto"/>
        <w:ind w:firstLine="0" w:firstLineChars="0"/>
        <w:jc w:val="center"/>
        <w:rPr>
          <w:rFonts w:hint="eastAsia" w:ascii="宋体" w:hAnsi="宋体" w:eastAsia="宋体" w:cs="宋体"/>
          <w:sz w:val="32"/>
          <w:szCs w:val="32"/>
          <w:highlight w:val="none"/>
        </w:rPr>
        <w:sectPr>
          <w:headerReference r:id="rId6" w:type="first"/>
          <w:footerReference r:id="rId9" w:type="first"/>
          <w:headerReference r:id="rId5" w:type="default"/>
          <w:footerReference r:id="rId7" w:type="default"/>
          <w:footerReference r:id="rId8" w:type="even"/>
          <w:pgSz w:w="11906" w:h="16838"/>
          <w:pgMar w:top="1418" w:right="1304" w:bottom="1418" w:left="1418" w:header="851" w:footer="992" w:gutter="0"/>
          <w:pgNumType w:fmt="decimal" w:start="1"/>
          <w:cols w:space="720" w:num="1"/>
          <w:docGrid w:type="linesAndChars" w:linePitch="312" w:charSpace="0"/>
        </w:sectPr>
      </w:pPr>
      <w:r>
        <w:rPr>
          <w:rFonts w:hint="eastAsia" w:ascii="宋体" w:hAnsi="宋体" w:cs="宋体"/>
          <w:sz w:val="32"/>
          <w:szCs w:val="32"/>
          <w:highlight w:val="none"/>
          <w:lang w:eastAsia="zh-CN"/>
        </w:rPr>
        <w:t>2025年</w:t>
      </w:r>
      <w:r>
        <w:rPr>
          <w:rFonts w:hint="eastAsia" w:ascii="宋体" w:hAnsi="宋体" w:cs="宋体"/>
          <w:sz w:val="32"/>
          <w:szCs w:val="32"/>
          <w:highlight w:val="none"/>
          <w:u w:val="none"/>
          <w:lang w:val="en-US" w:eastAsia="zh-CN"/>
        </w:rPr>
        <w:t>12</w:t>
      </w:r>
      <w:r>
        <w:rPr>
          <w:rFonts w:hint="eastAsia" w:ascii="宋体" w:hAnsi="宋体" w:eastAsia="宋体" w:cs="宋体"/>
          <w:sz w:val="32"/>
          <w:szCs w:val="32"/>
          <w:highlight w:val="none"/>
          <w:u w:val="none"/>
        </w:rPr>
        <w:t>月</w:t>
      </w:r>
    </w:p>
    <w:p w14:paraId="6EF559BB">
      <w:pPr>
        <w:spacing w:line="360" w:lineRule="auto"/>
        <w:ind w:firstLine="0" w:firstLineChars="0"/>
        <w:jc w:val="center"/>
        <w:rPr>
          <w:rFonts w:hAnsi="宋体"/>
          <w:b/>
          <w:sz w:val="44"/>
          <w:szCs w:val="28"/>
          <w:highlight w:val="none"/>
        </w:rPr>
      </w:pPr>
      <w:bookmarkStart w:id="85" w:name="_GoBack"/>
      <w:bookmarkEnd w:id="85"/>
      <w:r>
        <w:rPr>
          <w:rFonts w:hAnsi="宋体"/>
          <w:b/>
          <w:sz w:val="44"/>
          <w:szCs w:val="28"/>
          <w:highlight w:val="none"/>
        </w:rPr>
        <w:t>目</w:t>
      </w:r>
      <w:r>
        <w:rPr>
          <w:rFonts w:hint="eastAsia" w:hAnsi="宋体"/>
          <w:b/>
          <w:sz w:val="44"/>
          <w:szCs w:val="28"/>
          <w:highlight w:val="none"/>
          <w:lang w:val="en-US" w:eastAsia="zh-CN"/>
        </w:rPr>
        <w:t xml:space="preserve">  </w:t>
      </w:r>
      <w:r>
        <w:rPr>
          <w:rFonts w:hAnsi="宋体"/>
          <w:b/>
          <w:sz w:val="44"/>
          <w:szCs w:val="28"/>
          <w:highlight w:val="none"/>
        </w:rPr>
        <w:t>录</w:t>
      </w:r>
    </w:p>
    <w:p w14:paraId="60EEFFC2">
      <w:pPr>
        <w:pStyle w:val="17"/>
        <w:spacing w:line="360" w:lineRule="auto"/>
        <w:rPr>
          <w:highlight w:val="none"/>
        </w:rPr>
      </w:pPr>
    </w:p>
    <w:p w14:paraId="2BBBA31E">
      <w:pPr>
        <w:spacing w:line="360" w:lineRule="auto"/>
        <w:jc w:val="center"/>
        <w:rPr>
          <w:b/>
          <w:sz w:val="28"/>
          <w:szCs w:val="28"/>
          <w:highlight w:val="none"/>
        </w:rPr>
      </w:pPr>
    </w:p>
    <w:p w14:paraId="063E9DC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第一部分</w:t>
      </w:r>
      <w:r>
        <w:rPr>
          <w:rFonts w:hint="eastAsia" w:hAnsi="宋体"/>
          <w:b/>
          <w:sz w:val="28"/>
          <w:szCs w:val="28"/>
          <w:highlight w:val="none"/>
        </w:rPr>
        <w:t xml:space="preserve">  </w:t>
      </w:r>
      <w:r>
        <w:rPr>
          <w:rFonts w:hAnsi="宋体"/>
          <w:b/>
          <w:sz w:val="28"/>
          <w:szCs w:val="28"/>
          <w:highlight w:val="none"/>
        </w:rPr>
        <w:t>邀请</w:t>
      </w:r>
      <w:r>
        <w:rPr>
          <w:rFonts w:hint="eastAsia" w:hAnsi="宋体"/>
          <w:b/>
          <w:sz w:val="28"/>
          <w:szCs w:val="28"/>
          <w:highlight w:val="none"/>
          <w:lang w:val="en-US" w:eastAsia="zh-CN"/>
        </w:rPr>
        <w:t>函</w:t>
      </w:r>
    </w:p>
    <w:p w14:paraId="6F0F63BC">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3287C56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二</w:t>
      </w:r>
      <w:r>
        <w:rPr>
          <w:rFonts w:hAnsi="宋体"/>
          <w:b/>
          <w:sz w:val="28"/>
          <w:szCs w:val="28"/>
          <w:highlight w:val="none"/>
        </w:rPr>
        <w:t>部分</w:t>
      </w:r>
      <w:r>
        <w:rPr>
          <w:rFonts w:hint="eastAsia" w:hAnsi="宋体"/>
          <w:b/>
          <w:sz w:val="28"/>
          <w:szCs w:val="28"/>
          <w:highlight w:val="none"/>
        </w:rPr>
        <w:t xml:space="preserve">  </w:t>
      </w:r>
      <w:r>
        <w:rPr>
          <w:rFonts w:hint="eastAsia" w:hAnsi="宋体"/>
          <w:b/>
          <w:sz w:val="28"/>
          <w:szCs w:val="28"/>
          <w:highlight w:val="none"/>
          <w:lang w:val="en-US" w:eastAsia="zh-CN"/>
        </w:rPr>
        <w:t>用户</w:t>
      </w:r>
      <w:r>
        <w:rPr>
          <w:rFonts w:hAnsi="宋体"/>
          <w:b/>
          <w:sz w:val="28"/>
          <w:szCs w:val="28"/>
          <w:highlight w:val="none"/>
        </w:rPr>
        <w:t>需求</w:t>
      </w:r>
      <w:r>
        <w:rPr>
          <w:rFonts w:hint="eastAsia" w:hAnsi="宋体"/>
          <w:b/>
          <w:sz w:val="28"/>
          <w:szCs w:val="28"/>
          <w:highlight w:val="none"/>
          <w:lang w:val="en-US" w:eastAsia="zh-CN"/>
        </w:rPr>
        <w:t>书</w:t>
      </w:r>
    </w:p>
    <w:p w14:paraId="5F00C820">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5AD3B4F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三</w:t>
      </w:r>
      <w:r>
        <w:rPr>
          <w:rFonts w:hAnsi="宋体"/>
          <w:b/>
          <w:sz w:val="28"/>
          <w:szCs w:val="28"/>
          <w:highlight w:val="none"/>
        </w:rPr>
        <w:t>部分</w:t>
      </w:r>
      <w:r>
        <w:rPr>
          <w:rFonts w:hint="eastAsia" w:hAnsi="宋体"/>
          <w:b/>
          <w:sz w:val="28"/>
          <w:szCs w:val="28"/>
          <w:highlight w:val="none"/>
        </w:rPr>
        <w:t xml:space="preserve">  </w:t>
      </w:r>
      <w:r>
        <w:rPr>
          <w:rFonts w:hint="eastAsia" w:hAnsi="宋体"/>
          <w:b/>
          <w:sz w:val="28"/>
          <w:szCs w:val="28"/>
          <w:highlight w:val="none"/>
          <w:lang w:eastAsia="zh-CN"/>
        </w:rPr>
        <w:t>评选办法</w:t>
      </w:r>
    </w:p>
    <w:p w14:paraId="77E685C8">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6417B7C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2" w:firstLineChars="200"/>
        <w:textAlignment w:val="auto"/>
        <w:rPr>
          <w:rFonts w:hAnsi="宋体"/>
          <w:b/>
          <w:sz w:val="28"/>
          <w:szCs w:val="28"/>
          <w:highlight w:val="none"/>
        </w:rPr>
      </w:pPr>
      <w:r>
        <w:rPr>
          <w:rFonts w:hint="eastAsia" w:hAnsi="宋体"/>
          <w:b/>
          <w:sz w:val="28"/>
          <w:szCs w:val="28"/>
          <w:highlight w:val="none"/>
        </w:rPr>
        <w:t xml:space="preserve"> </w:t>
      </w:r>
      <w:r>
        <w:rPr>
          <w:rFonts w:hint="eastAsia" w:hAnsi="宋体"/>
          <w:b/>
          <w:sz w:val="28"/>
          <w:szCs w:val="28"/>
          <w:highlight w:val="none"/>
          <w:lang w:val="en-US" w:eastAsia="zh-CN"/>
        </w:rPr>
        <w:t>参评</w:t>
      </w:r>
      <w:r>
        <w:rPr>
          <w:rFonts w:hAnsi="宋体"/>
          <w:b/>
          <w:sz w:val="28"/>
          <w:szCs w:val="28"/>
          <w:highlight w:val="none"/>
        </w:rPr>
        <w:t>文件</w:t>
      </w:r>
      <w:r>
        <w:rPr>
          <w:rFonts w:hint="eastAsia" w:hAnsi="宋体"/>
          <w:b/>
          <w:sz w:val="28"/>
          <w:szCs w:val="28"/>
          <w:highlight w:val="none"/>
          <w:lang w:val="en-US" w:eastAsia="zh-CN"/>
        </w:rPr>
        <w:t>参考</w:t>
      </w:r>
      <w:r>
        <w:rPr>
          <w:rFonts w:hAnsi="宋体"/>
          <w:b/>
          <w:sz w:val="28"/>
          <w:szCs w:val="28"/>
          <w:highlight w:val="none"/>
        </w:rPr>
        <w:t>格式</w:t>
      </w:r>
    </w:p>
    <w:p w14:paraId="5DE435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Ansi="宋体"/>
          <w:b/>
          <w:sz w:val="28"/>
          <w:szCs w:val="28"/>
          <w:highlight w:val="none"/>
        </w:rPr>
      </w:pPr>
    </w:p>
    <w:p w14:paraId="0B9DA9D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2" w:firstLineChars="200"/>
        <w:textAlignment w:val="auto"/>
        <w:rPr>
          <w:rFonts w:hAnsi="宋体"/>
          <w:b/>
          <w:sz w:val="28"/>
          <w:szCs w:val="28"/>
          <w:highlight w:val="none"/>
        </w:rPr>
      </w:pPr>
      <w:r>
        <w:rPr>
          <w:rFonts w:hint="eastAsia" w:hAnsi="宋体"/>
          <w:b/>
          <w:sz w:val="28"/>
          <w:szCs w:val="28"/>
          <w:highlight w:val="none"/>
          <w:lang w:eastAsia="zh-CN"/>
        </w:rPr>
        <w:t>附件</w:t>
      </w:r>
    </w:p>
    <w:p w14:paraId="511B5F76">
      <w:pPr>
        <w:spacing w:line="360" w:lineRule="auto"/>
        <w:rPr>
          <w:rFonts w:hint="eastAsia" w:ascii="Arial" w:hAnsi="Arial"/>
          <w:b/>
          <w:bCs/>
          <w:sz w:val="32"/>
          <w:szCs w:val="32"/>
          <w:highlight w:val="none"/>
        </w:rPr>
      </w:pPr>
      <w:r>
        <w:rPr>
          <w:rFonts w:hint="eastAsia" w:ascii="Arial" w:hAnsi="Arial"/>
          <w:b/>
          <w:bCs/>
          <w:sz w:val="32"/>
          <w:szCs w:val="32"/>
          <w:highlight w:val="none"/>
        </w:rPr>
        <w:br w:type="page"/>
      </w:r>
    </w:p>
    <w:p w14:paraId="1AEA67BE">
      <w:pPr>
        <w:numPr>
          <w:ilvl w:val="0"/>
          <w:numId w:val="3"/>
        </w:numPr>
        <w:spacing w:line="360" w:lineRule="auto"/>
        <w:jc w:val="center"/>
        <w:rPr>
          <w:rFonts w:hint="eastAsia" w:ascii="Arial" w:hAnsi="Arial"/>
          <w:b/>
          <w:bCs/>
          <w:sz w:val="32"/>
          <w:szCs w:val="32"/>
          <w:highlight w:val="none"/>
        </w:rPr>
      </w:pPr>
      <w:r>
        <w:rPr>
          <w:rFonts w:hint="eastAsia" w:ascii="Arial" w:hAnsi="Arial"/>
          <w:b/>
          <w:bCs/>
          <w:sz w:val="32"/>
          <w:szCs w:val="32"/>
          <w:highlight w:val="none"/>
        </w:rPr>
        <w:t>邀请函</w:t>
      </w:r>
    </w:p>
    <w:p w14:paraId="010F7710">
      <w:pPr>
        <w:keepNext w:val="0"/>
        <w:keepLines w:val="0"/>
        <w:pageBreakBefore w:val="0"/>
        <w:widowControl w:val="0"/>
        <w:kinsoku/>
        <w:wordWrap/>
        <w:overflowPunct/>
        <w:topLinePunct w:val="0"/>
        <w:autoSpaceDE/>
        <w:autoSpaceDN/>
        <w:bidi w:val="0"/>
        <w:adjustRightInd/>
        <w:snapToGrid/>
        <w:spacing w:afterLines="0" w:line="560" w:lineRule="exact"/>
        <w:ind w:left="0"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中山市公共交通运输集团有限公司（电力用户编码：TC315</w:t>
      </w:r>
      <w:r>
        <w:rPr>
          <w:rFonts w:hint="eastAsia" w:ascii="Times New Roman" w:hAnsi="Times New Roman" w:cs="宋体"/>
          <w:sz w:val="24"/>
          <w:szCs w:val="24"/>
          <w:highlight w:val="none"/>
          <w:lang w:val="en-US" w:eastAsia="zh-CN"/>
        </w:rPr>
        <w:t>，</w:t>
      </w:r>
      <w:r>
        <w:rPr>
          <w:rFonts w:hint="eastAsia" w:ascii="Times New Roman" w:hAnsi="Times New Roman" w:eastAsia="宋体" w:cs="宋体"/>
          <w:sz w:val="24"/>
          <w:szCs w:val="24"/>
          <w:highlight w:val="none"/>
        </w:rPr>
        <w:t>简称“需求方”</w:t>
      </w:r>
      <w:r>
        <w:rPr>
          <w:rFonts w:hint="eastAsia" w:ascii="Times New Roman" w:hAnsi="Times New Roman" w:cs="宋体"/>
          <w:sz w:val="24"/>
          <w:szCs w:val="24"/>
          <w:highlight w:val="none"/>
          <w:lang w:eastAsia="zh-CN"/>
        </w:rPr>
        <w:t>，官方主页https://</w:t>
      </w:r>
      <w:r>
        <w:rPr>
          <w:rFonts w:hint="eastAsia" w:ascii="Times New Roman" w:hAnsi="Times New Roman" w:cs="宋体"/>
          <w:sz w:val="24"/>
          <w:szCs w:val="24"/>
          <w:highlight w:val="none"/>
          <w:lang w:val="en-US" w:eastAsia="zh-CN"/>
        </w:rPr>
        <w:t>www.</w:t>
      </w:r>
      <w:r>
        <w:rPr>
          <w:rFonts w:hint="eastAsia" w:ascii="Times New Roman" w:hAnsi="Times New Roman" w:cs="宋体"/>
          <w:sz w:val="24"/>
          <w:szCs w:val="24"/>
          <w:highlight w:val="none"/>
          <w:lang w:eastAsia="zh-CN"/>
        </w:rPr>
        <w:t>zsbus.cn/</w:t>
      </w:r>
      <w:r>
        <w:rPr>
          <w:rFonts w:hint="eastAsia" w:ascii="Times New Roman" w:hAnsi="Times New Roman" w:eastAsia="宋体" w:cs="宋体"/>
          <w:sz w:val="24"/>
          <w:szCs w:val="24"/>
          <w:highlight w:val="none"/>
        </w:rPr>
        <w:t>）成立于1975年，拥有国家道路旅客运输二级企业资质，是以经营城市公共交通为主，集市际包车、厂企班车</w:t>
      </w:r>
      <w:r>
        <w:rPr>
          <w:rFonts w:hint="eastAsia" w:ascii="Times New Roman" w:hAnsi="Times New Roman" w:cs="宋体"/>
          <w:sz w:val="24"/>
          <w:szCs w:val="24"/>
          <w:highlight w:val="none"/>
          <w:lang w:eastAsia="zh-CN"/>
        </w:rPr>
        <w:t>、</w:t>
      </w:r>
      <w:r>
        <w:rPr>
          <w:rFonts w:hint="eastAsia" w:ascii="Times New Roman" w:hAnsi="Times New Roman" w:eastAsia="宋体" w:cs="宋体"/>
          <w:sz w:val="24"/>
          <w:szCs w:val="24"/>
          <w:highlight w:val="none"/>
        </w:rPr>
        <w:t>长途汽车客运站、汽车修理、广告等经营为一体的国有独资公共交通运输企业，以及中山市城乡一体化公共交通的承担者和市委、市政府公交优先民生政策的承载体，担负着全市各镇街公交运营服务。</w:t>
      </w:r>
    </w:p>
    <w:p w14:paraId="57558FDE">
      <w:pPr>
        <w:keepNext w:val="0"/>
        <w:keepLines w:val="0"/>
        <w:pageBreakBefore w:val="0"/>
        <w:widowControl w:val="0"/>
        <w:kinsoku/>
        <w:wordWrap/>
        <w:overflowPunct/>
        <w:topLinePunct w:val="0"/>
        <w:autoSpaceDE/>
        <w:autoSpaceDN/>
        <w:bidi w:val="0"/>
        <w:adjustRightInd/>
        <w:snapToGrid/>
        <w:spacing w:afterLines="0" w:line="560" w:lineRule="exact"/>
        <w:ind w:left="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需求方现在拥有营运车辆近2600辆、公交</w:t>
      </w:r>
      <w:r>
        <w:rPr>
          <w:rFonts w:hint="eastAsia" w:ascii="Times New Roman" w:hAnsi="Times New Roman" w:cs="宋体"/>
          <w:sz w:val="24"/>
          <w:szCs w:val="24"/>
          <w:highlight w:val="none"/>
          <w:lang w:eastAsia="zh-CN"/>
        </w:rPr>
        <w:t>专用</w:t>
      </w:r>
      <w:r>
        <w:rPr>
          <w:rFonts w:hint="eastAsia" w:ascii="Times New Roman" w:hAnsi="Times New Roman" w:eastAsia="宋体" w:cs="宋体"/>
          <w:sz w:val="24"/>
          <w:szCs w:val="24"/>
          <w:highlight w:val="none"/>
        </w:rPr>
        <w:t>充电站21座</w:t>
      </w:r>
      <w:r>
        <w:rPr>
          <w:rFonts w:hint="eastAsia" w:ascii="Times New Roman" w:hAnsi="Times New Roman" w:cs="宋体"/>
          <w:sz w:val="24"/>
          <w:szCs w:val="24"/>
          <w:highlight w:val="none"/>
          <w:lang w:eastAsia="zh-CN"/>
        </w:rPr>
        <w:t>，配置储能系统容量4.7兆瓦时</w:t>
      </w:r>
      <w:r>
        <w:rPr>
          <w:rFonts w:hint="eastAsia" w:ascii="Times New Roman" w:hAnsi="Times New Roman" w:eastAsia="宋体" w:cs="宋体"/>
          <w:sz w:val="24"/>
          <w:szCs w:val="24"/>
          <w:highlight w:val="none"/>
        </w:rPr>
        <w:t>，就</w:t>
      </w:r>
      <w:r>
        <w:rPr>
          <w:rFonts w:hint="eastAsia" w:ascii="Times New Roman" w:hAnsi="Times New Roman" w:cs="宋体"/>
          <w:sz w:val="24"/>
          <w:szCs w:val="24"/>
          <w:highlight w:val="none"/>
          <w:lang w:eastAsia="zh-CN"/>
        </w:rPr>
        <w:t>2026年</w:t>
      </w:r>
      <w:r>
        <w:rPr>
          <w:rFonts w:hint="eastAsia" w:ascii="Times New Roman" w:hAnsi="Times New Roman" w:cs="宋体"/>
          <w:sz w:val="24"/>
          <w:szCs w:val="24"/>
          <w:highlight w:val="none"/>
        </w:rPr>
        <w:t>电力市场交易售电代理</w:t>
      </w:r>
      <w:r>
        <w:rPr>
          <w:rFonts w:hint="eastAsia" w:ascii="Times New Roman" w:hAnsi="Times New Roman" w:eastAsia="宋体" w:cs="宋体"/>
          <w:sz w:val="24"/>
          <w:szCs w:val="24"/>
          <w:highlight w:val="none"/>
        </w:rPr>
        <w:t>项目进行公开</w:t>
      </w:r>
      <w:r>
        <w:rPr>
          <w:rFonts w:hint="eastAsia" w:ascii="Times New Roman" w:hAnsi="Times New Roman" w:cs="宋体"/>
          <w:sz w:val="24"/>
          <w:szCs w:val="24"/>
          <w:highlight w:val="none"/>
          <w:lang w:eastAsia="zh-CN"/>
        </w:rPr>
        <w:t>评选</w:t>
      </w:r>
      <w:r>
        <w:rPr>
          <w:rFonts w:hint="eastAsia" w:ascii="Times New Roman" w:hAnsi="Times New Roman" w:eastAsia="宋体" w:cs="宋体"/>
          <w:sz w:val="24"/>
          <w:szCs w:val="24"/>
          <w:highlight w:val="none"/>
        </w:rPr>
        <w:t>，欢迎符合资质条件的</w:t>
      </w:r>
      <w:r>
        <w:rPr>
          <w:rFonts w:hint="eastAsia" w:ascii="Times New Roman" w:hAnsi="Times New Roman" w:cs="宋体"/>
          <w:sz w:val="24"/>
          <w:szCs w:val="24"/>
          <w:highlight w:val="none"/>
          <w:lang w:eastAsia="zh-CN"/>
        </w:rPr>
        <w:t>售电公司（</w:t>
      </w:r>
      <w:r>
        <w:rPr>
          <w:rFonts w:hint="eastAsia" w:ascii="Times New Roman" w:hAnsi="Times New Roman" w:cs="宋体"/>
          <w:sz w:val="24"/>
          <w:szCs w:val="24"/>
          <w:highlight w:val="none"/>
          <w:lang w:val="en-US" w:eastAsia="zh-CN"/>
        </w:rPr>
        <w:t>简称“</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参评单位</w:t>
      </w:r>
      <w:r>
        <w:rPr>
          <w:rFonts w:hint="eastAsia" w:ascii="Times New Roman" w:hAnsi="Times New Roman" w:cs="宋体"/>
          <w:sz w:val="24"/>
          <w:szCs w:val="24"/>
          <w:highlight w:val="none"/>
          <w:lang w:val="en-US" w:eastAsia="zh-CN"/>
        </w:rPr>
        <w:t>”)</w:t>
      </w:r>
      <w:r>
        <w:rPr>
          <w:rFonts w:hint="eastAsia" w:ascii="Times New Roman" w:hAnsi="Times New Roman" w:eastAsia="宋体" w:cs="宋体"/>
          <w:sz w:val="24"/>
          <w:szCs w:val="24"/>
          <w:highlight w:val="none"/>
        </w:rPr>
        <w:t>参加评选。有关事项如下：</w:t>
      </w:r>
    </w:p>
    <w:p w14:paraId="5EA7B611">
      <w:pPr>
        <w:keepNext w:val="0"/>
        <w:keepLines w:val="0"/>
        <w:pageBreakBefore w:val="0"/>
        <w:widowControl w:val="0"/>
        <w:numPr>
          <w:ilvl w:val="0"/>
          <w:numId w:val="4"/>
        </w:numPr>
        <w:tabs>
          <w:tab w:val="left" w:pos="426"/>
        </w:tabs>
        <w:kinsoku/>
        <w:wordWrap/>
        <w:overflowPunct/>
        <w:topLinePunct w:val="0"/>
        <w:autoSpaceDE/>
        <w:autoSpaceDN/>
        <w:bidi w:val="0"/>
        <w:adjustRightInd/>
        <w:snapToGrid/>
        <w:spacing w:afterLines="0" w:line="560" w:lineRule="exact"/>
        <w:ind w:left="0" w:firstLine="482"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b/>
          <w:bCs/>
          <w:sz w:val="24"/>
          <w:szCs w:val="24"/>
          <w:highlight w:val="none"/>
        </w:rPr>
        <w:t>项目名称</w:t>
      </w:r>
      <w:r>
        <w:rPr>
          <w:rFonts w:hint="eastAsia" w:ascii="Times New Roman" w:hAnsi="Times New Roman" w:eastAsia="宋体" w:cs="宋体"/>
          <w:sz w:val="24"/>
          <w:szCs w:val="24"/>
          <w:highlight w:val="none"/>
        </w:rPr>
        <w:t>：中山</w:t>
      </w:r>
      <w:r>
        <w:rPr>
          <w:rFonts w:hint="eastAsia" w:ascii="Times New Roman" w:hAnsi="Times New Roman" w:cs="宋体"/>
          <w:sz w:val="24"/>
          <w:szCs w:val="24"/>
          <w:highlight w:val="none"/>
          <w:lang w:eastAsia="zh-CN"/>
        </w:rPr>
        <w:t>公交2026年</w:t>
      </w:r>
      <w:r>
        <w:rPr>
          <w:rFonts w:hint="eastAsia" w:ascii="Times New Roman" w:hAnsi="Times New Roman" w:cs="宋体"/>
          <w:sz w:val="24"/>
          <w:szCs w:val="24"/>
          <w:highlight w:val="none"/>
        </w:rPr>
        <w:t>电力市场交易售电代理项目</w:t>
      </w:r>
      <w:r>
        <w:rPr>
          <w:rFonts w:hint="eastAsia" w:ascii="Times New Roman" w:hAnsi="Times New Roman" w:eastAsia="宋体" w:cs="宋体"/>
          <w:sz w:val="24"/>
          <w:szCs w:val="24"/>
          <w:highlight w:val="none"/>
        </w:rPr>
        <w:t>。</w:t>
      </w:r>
    </w:p>
    <w:p w14:paraId="613C3B68">
      <w:pPr>
        <w:keepNext w:val="0"/>
        <w:keepLines w:val="0"/>
        <w:pageBreakBefore w:val="0"/>
        <w:widowControl w:val="0"/>
        <w:numPr>
          <w:ilvl w:val="0"/>
          <w:numId w:val="4"/>
        </w:numPr>
        <w:tabs>
          <w:tab w:val="left" w:pos="426"/>
        </w:tabs>
        <w:kinsoku/>
        <w:wordWrap/>
        <w:overflowPunct/>
        <w:topLinePunct w:val="0"/>
        <w:autoSpaceDE/>
        <w:autoSpaceDN/>
        <w:bidi w:val="0"/>
        <w:adjustRightInd/>
        <w:snapToGrid/>
        <w:spacing w:afterLines="0" w:line="560" w:lineRule="exact"/>
        <w:ind w:left="0" w:firstLine="482"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b/>
          <w:bCs/>
          <w:sz w:val="24"/>
          <w:szCs w:val="24"/>
          <w:highlight w:val="none"/>
        </w:rPr>
        <w:t>预计</w:t>
      </w:r>
      <w:r>
        <w:rPr>
          <w:rFonts w:hint="eastAsia" w:cs="宋体"/>
          <w:b/>
          <w:bCs/>
          <w:sz w:val="24"/>
          <w:szCs w:val="24"/>
          <w:highlight w:val="none"/>
          <w:lang w:eastAsia="zh-CN"/>
        </w:rPr>
        <w:t>用电</w:t>
      </w:r>
      <w:r>
        <w:rPr>
          <w:rFonts w:hint="eastAsia" w:ascii="Times New Roman" w:hAnsi="Times New Roman" w:eastAsia="宋体" w:cs="宋体"/>
          <w:b/>
          <w:bCs/>
          <w:sz w:val="24"/>
          <w:szCs w:val="24"/>
          <w:highlight w:val="none"/>
        </w:rPr>
        <w:t>规模：</w:t>
      </w:r>
      <w:r>
        <w:rPr>
          <w:rFonts w:hint="eastAsia" w:ascii="Times New Roman" w:hAnsi="Times New Roman" w:cs="宋体"/>
          <w:b w:val="0"/>
          <w:bCs w:val="0"/>
          <w:sz w:val="24"/>
          <w:szCs w:val="24"/>
          <w:highlight w:val="none"/>
          <w:lang w:val="en-US" w:eastAsia="zh-CN"/>
        </w:rPr>
        <w:t>2026年</w:t>
      </w:r>
      <w:r>
        <w:rPr>
          <w:rFonts w:hint="eastAsia" w:cs="宋体"/>
          <w:b w:val="0"/>
          <w:bCs w:val="0"/>
          <w:sz w:val="24"/>
          <w:szCs w:val="24"/>
          <w:highlight w:val="none"/>
          <w:lang w:val="en-US" w:eastAsia="zh-CN"/>
        </w:rPr>
        <w:t>约</w:t>
      </w:r>
      <w:r>
        <w:rPr>
          <w:rFonts w:hint="eastAsia" w:ascii="Times New Roman" w:hAnsi="Times New Roman" w:cs="宋体"/>
          <w:b w:val="0"/>
          <w:bCs w:val="0"/>
          <w:sz w:val="24"/>
          <w:szCs w:val="24"/>
          <w:highlight w:val="none"/>
          <w:lang w:val="en-US" w:eastAsia="zh-CN"/>
        </w:rPr>
        <w:t>1亿千瓦时</w:t>
      </w:r>
      <w:r>
        <w:rPr>
          <w:rFonts w:hint="eastAsia" w:cs="宋体"/>
          <w:b w:val="0"/>
          <w:bCs w:val="0"/>
          <w:sz w:val="24"/>
          <w:szCs w:val="24"/>
          <w:highlight w:val="none"/>
          <w:lang w:val="en-US" w:eastAsia="zh-CN"/>
        </w:rPr>
        <w:t>，其中低谷电量比例约70%</w:t>
      </w:r>
      <w:r>
        <w:rPr>
          <w:rFonts w:hint="eastAsia" w:ascii="Times New Roman" w:hAnsi="Times New Roman" w:cs="宋体"/>
          <w:b w:val="0"/>
          <w:bCs w:val="0"/>
          <w:sz w:val="24"/>
          <w:szCs w:val="24"/>
          <w:highlight w:val="none"/>
          <w:lang w:val="en-US" w:eastAsia="zh-CN"/>
        </w:rPr>
        <w:t>。</w:t>
      </w:r>
    </w:p>
    <w:p w14:paraId="4D65E490">
      <w:pPr>
        <w:keepNext w:val="0"/>
        <w:keepLines w:val="0"/>
        <w:pageBreakBefore w:val="0"/>
        <w:widowControl w:val="0"/>
        <w:numPr>
          <w:ilvl w:val="0"/>
          <w:numId w:val="4"/>
        </w:numPr>
        <w:tabs>
          <w:tab w:val="left" w:pos="426"/>
          <w:tab w:val="clear" w:pos="0"/>
        </w:tabs>
        <w:kinsoku/>
        <w:wordWrap/>
        <w:overflowPunct/>
        <w:topLinePunct w:val="0"/>
        <w:autoSpaceDE/>
        <w:autoSpaceDN/>
        <w:bidi w:val="0"/>
        <w:adjustRightInd/>
        <w:snapToGrid/>
        <w:spacing w:afterLines="0" w:line="560" w:lineRule="exact"/>
        <w:ind w:left="0" w:leftChars="0" w:firstLine="482" w:firstLineChars="200"/>
        <w:textAlignment w:val="auto"/>
        <w:rPr>
          <w:rFonts w:hint="eastAsia" w:ascii="Times New Roman" w:hAnsi="Times New Roman" w:eastAsia="宋体" w:cs="宋体"/>
          <w:b/>
          <w:bCs/>
          <w:color w:val="000000" w:themeColor="text1"/>
          <w:sz w:val="24"/>
          <w:szCs w:val="24"/>
          <w:highlight w:val="none"/>
          <w14:textFill>
            <w14:solidFill>
              <w14:schemeClr w14:val="tx1"/>
            </w14:solidFill>
          </w14:textFill>
        </w:rPr>
      </w:pPr>
      <w:r>
        <w:rPr>
          <w:rFonts w:hint="eastAsia" w:ascii="Times New Roman" w:hAnsi="Times New Roman" w:eastAsia="宋体" w:cs="宋体"/>
          <w:b/>
          <w:bCs/>
          <w:color w:val="000000" w:themeColor="text1"/>
          <w:sz w:val="24"/>
          <w:szCs w:val="24"/>
          <w:highlight w:val="none"/>
          <w14:textFill>
            <w14:solidFill>
              <w14:schemeClr w14:val="tx1"/>
            </w14:solidFill>
          </w14:textFill>
        </w:rPr>
        <w:t>项目内容及需求</w:t>
      </w:r>
    </w:p>
    <w:p w14:paraId="4CB96D48">
      <w:pPr>
        <w:keepNext w:val="0"/>
        <w:keepLines w:val="0"/>
        <w:pageBreakBefore w:val="0"/>
        <w:widowControl w:val="0"/>
        <w:numPr>
          <w:ilvl w:val="0"/>
          <w:numId w:val="5"/>
        </w:numPr>
        <w:kinsoku/>
        <w:wordWrap/>
        <w:overflowPunct/>
        <w:topLinePunct w:val="0"/>
        <w:autoSpaceDE/>
        <w:autoSpaceDN/>
        <w:bidi w:val="0"/>
        <w:adjustRightInd/>
        <w:snapToGrid/>
        <w:spacing w:afterLines="0" w:line="560" w:lineRule="exact"/>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项目实施地点：广东省。</w:t>
      </w:r>
    </w:p>
    <w:p w14:paraId="7084A877">
      <w:pPr>
        <w:keepNext w:val="0"/>
        <w:keepLines w:val="0"/>
        <w:pageBreakBefore w:val="0"/>
        <w:widowControl w:val="0"/>
        <w:numPr>
          <w:ilvl w:val="0"/>
          <w:numId w:val="5"/>
        </w:numPr>
        <w:kinsoku/>
        <w:wordWrap/>
        <w:overflowPunct/>
        <w:topLinePunct w:val="0"/>
        <w:autoSpaceDE/>
        <w:autoSpaceDN/>
        <w:bidi w:val="0"/>
        <w:adjustRightInd/>
        <w:snapToGrid/>
        <w:spacing w:afterLines="0" w:line="560" w:lineRule="exact"/>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服务内容：</w:t>
      </w:r>
      <w:r>
        <w:rPr>
          <w:rFonts w:hint="eastAsia" w:ascii="Times New Roman" w:hAnsi="Times New Roman" w:cs="宋体"/>
          <w:sz w:val="24"/>
          <w:szCs w:val="24"/>
          <w:highlight w:val="none"/>
          <w:lang w:eastAsia="zh-CN"/>
        </w:rPr>
        <w:t>代理</w:t>
      </w:r>
      <w:r>
        <w:rPr>
          <w:rFonts w:hint="eastAsia" w:ascii="Times New Roman" w:hAnsi="Times New Roman" w:eastAsia="宋体" w:cs="宋体"/>
          <w:sz w:val="24"/>
          <w:szCs w:val="24"/>
          <w:highlight w:val="none"/>
          <w:lang w:eastAsia="zh-CN"/>
        </w:rPr>
        <w:t>需求</w:t>
      </w:r>
      <w:r>
        <w:rPr>
          <w:rFonts w:hint="eastAsia" w:ascii="Times New Roman" w:hAnsi="Times New Roman" w:cs="宋体"/>
          <w:sz w:val="24"/>
          <w:szCs w:val="24"/>
          <w:highlight w:val="none"/>
          <w:lang w:eastAsia="zh-CN"/>
        </w:rPr>
        <w:t>方参加2026年电力市场交易</w:t>
      </w:r>
      <w:r>
        <w:rPr>
          <w:rFonts w:hint="eastAsia" w:ascii="Times New Roman" w:hAnsi="Times New Roman" w:eastAsia="宋体" w:cs="宋体"/>
          <w:sz w:val="24"/>
          <w:szCs w:val="24"/>
          <w:highlight w:val="none"/>
          <w:lang w:eastAsia="zh-CN"/>
        </w:rPr>
        <w:t>。</w:t>
      </w:r>
    </w:p>
    <w:p w14:paraId="62DB33DD">
      <w:pPr>
        <w:keepNext w:val="0"/>
        <w:keepLines w:val="0"/>
        <w:pageBreakBefore w:val="0"/>
        <w:widowControl w:val="0"/>
        <w:numPr>
          <w:ilvl w:val="0"/>
          <w:numId w:val="5"/>
        </w:numPr>
        <w:kinsoku/>
        <w:wordWrap/>
        <w:overflowPunct/>
        <w:topLinePunct w:val="0"/>
        <w:autoSpaceDE/>
        <w:autoSpaceDN/>
        <w:bidi w:val="0"/>
        <w:adjustRightInd/>
        <w:snapToGrid/>
        <w:spacing w:afterLines="0" w:line="560" w:lineRule="exact"/>
        <w:ind w:left="0" w:leftChars="0"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服务期限：</w:t>
      </w:r>
      <w:r>
        <w:rPr>
          <w:rFonts w:hint="eastAsia" w:ascii="Times New Roman" w:hAnsi="Times New Roman" w:cs="宋体"/>
          <w:sz w:val="24"/>
          <w:szCs w:val="24"/>
          <w:highlight w:val="none"/>
          <w:lang w:eastAsia="zh-CN"/>
        </w:rPr>
        <w:t>2026年</w:t>
      </w:r>
      <w:r>
        <w:rPr>
          <w:rFonts w:hint="eastAsia" w:ascii="Times New Roman" w:hAnsi="Times New Roman" w:eastAsia="宋体" w:cs="宋体"/>
          <w:sz w:val="24"/>
          <w:szCs w:val="24"/>
          <w:highlight w:val="none"/>
          <w:lang w:eastAsia="zh-CN"/>
        </w:rPr>
        <w:t>1月1日</w:t>
      </w:r>
      <w:r>
        <w:rPr>
          <w:rFonts w:hint="eastAsia" w:ascii="Times New Roman" w:hAnsi="Times New Roman" w:cs="宋体"/>
          <w:sz w:val="24"/>
          <w:szCs w:val="24"/>
          <w:highlight w:val="none"/>
          <w:lang w:eastAsia="zh-CN"/>
        </w:rPr>
        <w:t>—2026年</w:t>
      </w:r>
      <w:r>
        <w:rPr>
          <w:rFonts w:hint="eastAsia" w:ascii="Times New Roman" w:hAnsi="Times New Roman" w:eastAsia="宋体" w:cs="宋体"/>
          <w:sz w:val="24"/>
          <w:szCs w:val="24"/>
          <w:highlight w:val="none"/>
          <w:lang w:eastAsia="zh-CN"/>
        </w:rPr>
        <w:t>12月31日。</w:t>
      </w:r>
    </w:p>
    <w:p w14:paraId="39C9D79C">
      <w:pPr>
        <w:keepNext w:val="0"/>
        <w:keepLines w:val="0"/>
        <w:pageBreakBefore w:val="0"/>
        <w:widowControl w:val="0"/>
        <w:numPr>
          <w:ilvl w:val="0"/>
          <w:numId w:val="4"/>
        </w:numPr>
        <w:tabs>
          <w:tab w:val="left" w:pos="426"/>
          <w:tab w:val="clear" w:pos="0"/>
        </w:tabs>
        <w:kinsoku/>
        <w:wordWrap/>
        <w:overflowPunct/>
        <w:topLinePunct w:val="0"/>
        <w:autoSpaceDE/>
        <w:autoSpaceDN/>
        <w:bidi w:val="0"/>
        <w:adjustRightInd/>
        <w:snapToGrid/>
        <w:spacing w:afterLines="0" w:line="560" w:lineRule="exact"/>
        <w:ind w:left="0" w:leftChars="0" w:firstLine="482" w:firstLineChars="200"/>
        <w:textAlignment w:val="auto"/>
        <w:rPr>
          <w:rFonts w:hint="eastAsia" w:ascii="Times New Roman" w:hAnsi="Times New Roman" w:eastAsia="宋体" w:cs="宋体"/>
          <w:b/>
          <w:bCs/>
          <w:color w:val="000000" w:themeColor="text1"/>
          <w:sz w:val="24"/>
          <w:szCs w:val="24"/>
          <w:highlight w:val="none"/>
          <w14:textFill>
            <w14:solidFill>
              <w14:schemeClr w14:val="tx1"/>
            </w14:solidFill>
          </w14:textFill>
        </w:rPr>
      </w:pPr>
      <w:r>
        <w:rPr>
          <w:rFonts w:hint="eastAsia" w:ascii="Times New Roman" w:hAnsi="Times New Roman" w:cs="宋体"/>
          <w:b/>
          <w:bCs/>
          <w:color w:val="000000" w:themeColor="text1"/>
          <w:sz w:val="24"/>
          <w:szCs w:val="24"/>
          <w:highlight w:val="none"/>
          <w:lang w:val="en-US" w:eastAsia="zh-CN"/>
          <w14:textFill>
            <w14:solidFill>
              <w14:schemeClr w14:val="tx1"/>
            </w14:solidFill>
          </w14:textFill>
        </w:rPr>
        <w:t>参评单位</w:t>
      </w:r>
      <w:r>
        <w:rPr>
          <w:rFonts w:hint="eastAsia" w:ascii="Times New Roman" w:hAnsi="Times New Roman" w:eastAsia="宋体" w:cs="宋体"/>
          <w:b/>
          <w:bCs/>
          <w:color w:val="000000" w:themeColor="text1"/>
          <w:sz w:val="24"/>
          <w:szCs w:val="24"/>
          <w:highlight w:val="none"/>
          <w14:textFill>
            <w14:solidFill>
              <w14:schemeClr w14:val="tx1"/>
            </w14:solidFill>
          </w14:textFill>
        </w:rPr>
        <w:t>的</w:t>
      </w: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资格要求</w:t>
      </w:r>
    </w:p>
    <w:p w14:paraId="095F53EA">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cs="宋体"/>
          <w:color w:val="000000" w:themeColor="text1"/>
          <w:sz w:val="24"/>
          <w:highlight w:val="none"/>
          <w14:textFill>
            <w14:solidFill>
              <w14:schemeClr w14:val="tx1"/>
            </w14:solidFill>
          </w14:textFill>
        </w:rPr>
        <w:t>依法在中华人民共和国境内注册，具备有效的营业执照或事业单位法人证书</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w:t>
      </w:r>
    </w:p>
    <w:p w14:paraId="1AEE6F3F">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cs="宋体"/>
          <w:sz w:val="24"/>
          <w:szCs w:val="24"/>
          <w:highlight w:val="none"/>
          <w:lang w:val="en-US" w:eastAsia="zh-CN"/>
        </w:rPr>
      </w:pP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未被列入“信用中国”网站（www.creditchina.gov.cn）“失信被执行人或重大税收违法失信主体”记录名单。</w:t>
      </w:r>
    </w:p>
    <w:p w14:paraId="2F3C7665">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cs="宋体"/>
          <w:sz w:val="24"/>
          <w:szCs w:val="24"/>
          <w:highlight w:val="none"/>
          <w:lang w:val="en-US" w:eastAsia="zh-CN"/>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在广东电力交易中心发布的</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2025年</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广东电力市场信用评价</w:t>
      </w:r>
      <w:r>
        <w:rPr>
          <w:rFonts w:hint="eastAsia" w:cs="宋体"/>
          <w:b w:val="0"/>
          <w:bCs w:val="0"/>
          <w:color w:val="000000" w:themeColor="text1"/>
          <w:sz w:val="24"/>
          <w:szCs w:val="24"/>
          <w:highlight w:val="none"/>
          <w:lang w:val="en-US" w:eastAsia="zh-CN"/>
          <w14:textFill>
            <w14:solidFill>
              <w14:schemeClr w14:val="tx1"/>
            </w14:solidFill>
          </w14:textFill>
        </w:rPr>
        <w:t>中</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等级为A级</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或以上。</w:t>
      </w:r>
    </w:p>
    <w:p w14:paraId="78A8442A">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cs="宋体"/>
          <w:sz w:val="24"/>
          <w:szCs w:val="24"/>
          <w:highlight w:val="none"/>
          <w:lang w:val="en-US" w:eastAsia="zh-CN"/>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参评单位根据广东电力市场履约风险管理实施细则设立的售电</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公司电力交易</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履约担保凭证，初始信用额度合计不低于1</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00万元，</w:t>
      </w:r>
      <w:r>
        <w:rPr>
          <w:rFonts w:hint="eastAsia" w:cs="宋体"/>
          <w:color w:val="000000" w:themeColor="text1"/>
          <w:sz w:val="24"/>
          <w:highlight w:val="none"/>
          <w14:textFill>
            <w14:solidFill>
              <w14:schemeClr w14:val="tx1"/>
            </w14:solidFill>
          </w14:textFill>
        </w:rPr>
        <w:t>有效期覆盖2026年1月1日至2027年3月31日</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w:t>
      </w:r>
    </w:p>
    <w:p w14:paraId="358BF415">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法定代表人为同一人的两个及两个以上法人，母公司、全资子公司及其控股公司，不能同时参与本项目</w:t>
      </w:r>
      <w:r>
        <w:rPr>
          <w:rFonts w:hint="eastAsia" w:ascii="Times New Roman" w:hAnsi="Times New Roman" w:cs="宋体"/>
          <w:b w:val="0"/>
          <w:bCs w:val="0"/>
          <w:color w:val="000000" w:themeColor="text1"/>
          <w:sz w:val="24"/>
          <w:szCs w:val="24"/>
          <w:highlight w:val="none"/>
          <w:lang w:val="en-US" w:eastAsia="zh-CN"/>
          <w14:textFill>
            <w14:solidFill>
              <w14:schemeClr w14:val="tx1"/>
            </w14:solidFill>
          </w14:textFill>
        </w:rPr>
        <w:t>。</w:t>
      </w:r>
    </w:p>
    <w:p w14:paraId="47CEAC3A">
      <w:pPr>
        <w:pStyle w:val="17"/>
        <w:keepNext w:val="0"/>
        <w:keepLines w:val="0"/>
        <w:pageBreakBefore w:val="0"/>
        <w:widowControl w:val="0"/>
        <w:numPr>
          <w:ilvl w:val="0"/>
          <w:numId w:val="6"/>
        </w:numPr>
        <w:kinsoku/>
        <w:wordWrap/>
        <w:overflowPunct/>
        <w:topLinePunct w:val="0"/>
        <w:autoSpaceDE/>
        <w:autoSpaceDN/>
        <w:bidi w:val="0"/>
        <w:adjustRightInd/>
        <w:snapToGrid/>
        <w:spacing w:after="0" w:afterLines="0" w:line="560" w:lineRule="exact"/>
        <w:ind w:left="0" w:leftChars="0" w:firstLine="480" w:firstLineChars="200"/>
        <w:textAlignment w:val="auto"/>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本项目不接受联合体，不允许转包、分包。</w:t>
      </w:r>
    </w:p>
    <w:p w14:paraId="16AA66A4">
      <w:pPr>
        <w:pStyle w:val="7"/>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b/>
          <w:bCs/>
          <w:sz w:val="24"/>
          <w:szCs w:val="24"/>
          <w:highlight w:val="none"/>
          <w:lang w:val="en-US" w:eastAsia="zh-CN"/>
        </w:rPr>
        <w:t>五</w:t>
      </w:r>
      <w:r>
        <w:rPr>
          <w:rFonts w:hint="eastAsia" w:ascii="Times New Roman" w:hAnsi="Times New Roman" w:eastAsia="宋体" w:cs="宋体"/>
          <w:b/>
          <w:bCs/>
          <w:sz w:val="24"/>
          <w:szCs w:val="24"/>
          <w:highlight w:val="none"/>
        </w:rPr>
        <w:t>、</w:t>
      </w:r>
      <w:r>
        <w:rPr>
          <w:rFonts w:hint="eastAsia" w:ascii="Times New Roman" w:hAnsi="Times New Roman" w:cs="宋体"/>
          <w:b/>
          <w:bCs/>
          <w:sz w:val="24"/>
          <w:szCs w:val="24"/>
          <w:highlight w:val="none"/>
          <w:lang w:val="en-US" w:eastAsia="zh-CN"/>
        </w:rPr>
        <w:t>参评</w:t>
      </w:r>
      <w:r>
        <w:rPr>
          <w:rFonts w:hint="eastAsia" w:ascii="Times New Roman" w:hAnsi="Times New Roman" w:eastAsia="宋体" w:cs="宋体"/>
          <w:b/>
          <w:bCs/>
          <w:sz w:val="24"/>
          <w:szCs w:val="24"/>
          <w:highlight w:val="none"/>
        </w:rPr>
        <w:t>方式</w:t>
      </w:r>
    </w:p>
    <w:p w14:paraId="02E92E4F">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参评文件要求</w:t>
      </w:r>
    </w:p>
    <w:p w14:paraId="3BFC3925">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数量与格式：壹份正本文件</w:t>
      </w:r>
      <w:r>
        <w:rPr>
          <w:rFonts w:hint="eastAsia" w:cs="宋体"/>
          <w:sz w:val="24"/>
          <w:szCs w:val="24"/>
          <w:highlight w:val="none"/>
          <w:lang w:eastAsia="zh-CN"/>
        </w:rPr>
        <w:t>，</w:t>
      </w:r>
      <w:r>
        <w:rPr>
          <w:rFonts w:hint="eastAsia" w:ascii="Times New Roman" w:hAnsi="Times New Roman" w:eastAsia="宋体" w:cs="宋体"/>
          <w:sz w:val="24"/>
          <w:szCs w:val="24"/>
          <w:highlight w:val="none"/>
        </w:rPr>
        <w:t>壹份</w:t>
      </w:r>
      <w:r>
        <w:rPr>
          <w:rFonts w:hint="eastAsia" w:cs="宋体"/>
          <w:sz w:val="24"/>
          <w:szCs w:val="24"/>
          <w:highlight w:val="none"/>
          <w:lang w:eastAsia="zh-CN"/>
        </w:rPr>
        <w:t>副</w:t>
      </w:r>
      <w:r>
        <w:rPr>
          <w:rFonts w:hint="eastAsia" w:ascii="Times New Roman" w:hAnsi="Times New Roman" w:eastAsia="宋体" w:cs="宋体"/>
          <w:sz w:val="24"/>
          <w:szCs w:val="24"/>
          <w:highlight w:val="none"/>
        </w:rPr>
        <w:t>本文件。</w:t>
      </w:r>
    </w:p>
    <w:p w14:paraId="0AF774C3">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密封与签章：参评文件必须按评选文件规定的格式进行密封、标注，并加盖单位公章或按规定签署。封面请注明“</w:t>
      </w:r>
      <w:r>
        <w:rPr>
          <w:rFonts w:hint="eastAsia" w:cs="宋体"/>
          <w:sz w:val="24"/>
          <w:szCs w:val="24"/>
          <w:highlight w:val="none"/>
          <w:lang w:eastAsia="zh-CN"/>
        </w:rPr>
        <w:t>中山公交</w:t>
      </w:r>
      <w:r>
        <w:rPr>
          <w:rFonts w:hint="eastAsia" w:ascii="Times New Roman" w:hAnsi="Times New Roman" w:eastAsia="宋体" w:cs="宋体"/>
          <w:sz w:val="24"/>
          <w:szCs w:val="24"/>
          <w:highlight w:val="none"/>
        </w:rPr>
        <w:t>2026年电力市场交易售电代理项目”以免与其他项目混淆</w:t>
      </w:r>
      <w:r>
        <w:rPr>
          <w:rFonts w:hint="eastAsia" w:cs="宋体"/>
          <w:sz w:val="24"/>
          <w:szCs w:val="24"/>
          <w:highlight w:val="none"/>
          <w:lang w:eastAsia="zh-CN"/>
        </w:rPr>
        <w:t>。</w:t>
      </w:r>
    </w:p>
    <w:p w14:paraId="3A1E51D1">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评选时间</w:t>
      </w:r>
    </w:p>
    <w:p w14:paraId="4605655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yellow"/>
        </w:rPr>
      </w:pPr>
      <w:r>
        <w:rPr>
          <w:rFonts w:hint="eastAsia" w:ascii="Times New Roman" w:hAnsi="Times New Roman" w:eastAsia="宋体" w:cs="宋体"/>
          <w:sz w:val="24"/>
          <w:szCs w:val="24"/>
          <w:highlight w:val="yellow"/>
        </w:rPr>
        <w:t>2025年12月</w:t>
      </w:r>
      <w:r>
        <w:rPr>
          <w:rFonts w:hint="eastAsia" w:cs="宋体"/>
          <w:sz w:val="24"/>
          <w:szCs w:val="24"/>
          <w:highlight w:val="yellow"/>
          <w:lang w:val="en-US" w:eastAsia="zh-CN"/>
        </w:rPr>
        <w:t>10</w:t>
      </w:r>
      <w:r>
        <w:rPr>
          <w:rFonts w:hint="eastAsia" w:ascii="Times New Roman" w:hAnsi="Times New Roman" w:eastAsia="宋体" w:cs="宋体"/>
          <w:sz w:val="24"/>
          <w:szCs w:val="24"/>
          <w:highlight w:val="yellow"/>
        </w:rPr>
        <w:t>日（星期</w:t>
      </w:r>
      <w:r>
        <w:rPr>
          <w:rFonts w:hint="eastAsia" w:cs="宋体"/>
          <w:sz w:val="24"/>
          <w:szCs w:val="24"/>
          <w:highlight w:val="yellow"/>
          <w:lang w:val="en-US" w:eastAsia="zh-CN"/>
        </w:rPr>
        <w:t>三</w:t>
      </w:r>
      <w:r>
        <w:rPr>
          <w:rFonts w:hint="eastAsia" w:ascii="Times New Roman" w:hAnsi="Times New Roman" w:eastAsia="宋体" w:cs="宋体"/>
          <w:sz w:val="24"/>
          <w:szCs w:val="24"/>
          <w:highlight w:val="yellow"/>
        </w:rPr>
        <w:t>）</w:t>
      </w:r>
      <w:r>
        <w:rPr>
          <w:rFonts w:hint="eastAsia" w:cs="宋体"/>
          <w:sz w:val="24"/>
          <w:szCs w:val="24"/>
          <w:highlight w:val="yellow"/>
          <w:lang w:val="en-US" w:eastAsia="zh-CN"/>
        </w:rPr>
        <w:t>下</w:t>
      </w:r>
      <w:r>
        <w:rPr>
          <w:rFonts w:hint="eastAsia" w:ascii="Times New Roman" w:hAnsi="Times New Roman" w:eastAsia="宋体" w:cs="宋体"/>
          <w:sz w:val="24"/>
          <w:szCs w:val="24"/>
          <w:highlight w:val="yellow"/>
        </w:rPr>
        <w:t>午1</w:t>
      </w:r>
      <w:r>
        <w:rPr>
          <w:rFonts w:hint="eastAsia" w:cs="宋体"/>
          <w:sz w:val="24"/>
          <w:szCs w:val="24"/>
          <w:highlight w:val="yellow"/>
          <w:lang w:val="en-US" w:eastAsia="zh-CN"/>
        </w:rPr>
        <w:t>5</w:t>
      </w:r>
      <w:r>
        <w:rPr>
          <w:rFonts w:hint="eastAsia" w:ascii="Times New Roman" w:hAnsi="Times New Roman" w:eastAsia="宋体" w:cs="宋体"/>
          <w:sz w:val="24"/>
          <w:szCs w:val="24"/>
          <w:highlight w:val="yellow"/>
        </w:rPr>
        <w:t>:00</w:t>
      </w:r>
      <w:r>
        <w:rPr>
          <w:rFonts w:hint="eastAsia" w:ascii="Times New Roman" w:hAnsi="Times New Roman" w:eastAsia="宋体" w:cs="宋体"/>
          <w:sz w:val="24"/>
          <w:szCs w:val="24"/>
          <w:highlight w:val="none"/>
        </w:rPr>
        <w:t>，评</w:t>
      </w:r>
      <w:r>
        <w:rPr>
          <w:rFonts w:hint="eastAsia" w:cs="宋体"/>
          <w:sz w:val="24"/>
          <w:szCs w:val="24"/>
          <w:highlight w:val="none"/>
          <w:lang w:eastAsia="zh-CN"/>
        </w:rPr>
        <w:t>选</w:t>
      </w:r>
      <w:r>
        <w:rPr>
          <w:rFonts w:hint="eastAsia" w:ascii="Times New Roman" w:hAnsi="Times New Roman" w:eastAsia="宋体" w:cs="宋体"/>
          <w:sz w:val="24"/>
          <w:szCs w:val="24"/>
          <w:highlight w:val="none"/>
        </w:rPr>
        <w:t>时参评单位无需到场参加。</w:t>
      </w:r>
    </w:p>
    <w:p w14:paraId="102113D6">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参评文件递交</w:t>
      </w:r>
    </w:p>
    <w:p w14:paraId="77E34AA9">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截止时间与地址：请于</w:t>
      </w:r>
      <w:r>
        <w:rPr>
          <w:rFonts w:hint="eastAsia" w:ascii="Times New Roman" w:hAnsi="Times New Roman" w:eastAsia="宋体" w:cs="宋体"/>
          <w:sz w:val="24"/>
          <w:szCs w:val="24"/>
          <w:highlight w:val="yellow"/>
        </w:rPr>
        <w:t>2025年12月</w:t>
      </w:r>
      <w:r>
        <w:rPr>
          <w:rFonts w:hint="eastAsia" w:cs="宋体"/>
          <w:sz w:val="24"/>
          <w:szCs w:val="24"/>
          <w:highlight w:val="yellow"/>
          <w:lang w:val="en-US" w:eastAsia="zh-CN"/>
        </w:rPr>
        <w:t>10</w:t>
      </w:r>
      <w:r>
        <w:rPr>
          <w:rFonts w:hint="eastAsia" w:ascii="Times New Roman" w:hAnsi="Times New Roman" w:eastAsia="宋体" w:cs="宋体"/>
          <w:sz w:val="24"/>
          <w:szCs w:val="24"/>
          <w:highlight w:val="yellow"/>
        </w:rPr>
        <w:t>日1</w:t>
      </w:r>
      <w:r>
        <w:rPr>
          <w:rFonts w:hint="eastAsia" w:cs="宋体"/>
          <w:sz w:val="24"/>
          <w:szCs w:val="24"/>
          <w:highlight w:val="yellow"/>
          <w:lang w:val="en-US" w:eastAsia="zh-CN"/>
        </w:rPr>
        <w:t>5</w:t>
      </w:r>
      <w:r>
        <w:rPr>
          <w:rFonts w:hint="eastAsia" w:ascii="Times New Roman" w:hAnsi="Times New Roman" w:eastAsia="宋体" w:cs="宋体"/>
          <w:sz w:val="24"/>
          <w:szCs w:val="24"/>
          <w:highlight w:val="yellow"/>
        </w:rPr>
        <w:t>:00前</w:t>
      </w:r>
      <w:r>
        <w:rPr>
          <w:rFonts w:hint="eastAsia" w:ascii="Times New Roman" w:hAnsi="Times New Roman" w:eastAsia="宋体" w:cs="宋体"/>
          <w:sz w:val="24"/>
          <w:szCs w:val="24"/>
          <w:highlight w:val="none"/>
        </w:rPr>
        <w:t>，将参评文件送达以下地址</w:t>
      </w:r>
      <w:r>
        <w:rPr>
          <w:rFonts w:hint="eastAsia" w:ascii="Times New Roman" w:hAnsi="Times New Roman" w:cs="宋体"/>
          <w:sz w:val="24"/>
          <w:szCs w:val="24"/>
          <w:highlight w:val="none"/>
          <w:lang w:eastAsia="zh-CN"/>
        </w:rPr>
        <w:t>，</w:t>
      </w:r>
      <w:r>
        <w:rPr>
          <w:rFonts w:hint="eastAsia" w:ascii="Times New Roman" w:hAnsi="Times New Roman" w:eastAsia="宋体" w:cs="宋体"/>
          <w:sz w:val="24"/>
          <w:szCs w:val="24"/>
          <w:highlight w:val="none"/>
        </w:rPr>
        <w:t>逾期送达将不予受理。</w:t>
      </w:r>
    </w:p>
    <w:p w14:paraId="1CF9EDB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地址：广东省中山市南区城南三路38号中山公交集团二楼开</w:t>
      </w:r>
      <w:r>
        <w:rPr>
          <w:rFonts w:hint="eastAsia" w:cs="宋体"/>
          <w:sz w:val="24"/>
          <w:szCs w:val="24"/>
          <w:highlight w:val="none"/>
          <w:lang w:eastAsia="zh-CN"/>
        </w:rPr>
        <w:t>评选</w:t>
      </w:r>
      <w:r>
        <w:rPr>
          <w:rFonts w:hint="eastAsia" w:ascii="Times New Roman" w:hAnsi="Times New Roman" w:eastAsia="宋体" w:cs="宋体"/>
          <w:sz w:val="24"/>
          <w:szCs w:val="24"/>
          <w:highlight w:val="none"/>
        </w:rPr>
        <w:t>室</w:t>
      </w:r>
    </w:p>
    <w:p w14:paraId="16D59082">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收件人：彭先生</w:t>
      </w:r>
    </w:p>
    <w:p w14:paraId="336F39BC">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联系电话：15972926258</w:t>
      </w:r>
    </w:p>
    <w:p w14:paraId="1F31B29F">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邮寄说明：本项目接受邮寄方式递交（邮寄时效须自行掌握），以采购人实际收到参评文件的时间为准。一律不接受运费到付，若发生运费到付情况，收件方有权作拒收或退件处理，相关责任由参评单位自行承担。</w:t>
      </w:r>
    </w:p>
    <w:p w14:paraId="3278AA01">
      <w:pPr>
        <w:pStyle w:val="7"/>
        <w:keepNext w:val="0"/>
        <w:keepLines w:val="0"/>
        <w:pageBreakBefore w:val="0"/>
        <w:widowControl w:val="0"/>
        <w:numPr>
          <w:ilvl w:val="0"/>
          <w:numId w:val="7"/>
        </w:numPr>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参评保证金</w:t>
      </w:r>
    </w:p>
    <w:p w14:paraId="2EE77B46">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参评保证金金额为人民币</w:t>
      </w:r>
      <w:r>
        <w:rPr>
          <w:rFonts w:hint="eastAsia" w:cs="宋体"/>
          <w:sz w:val="24"/>
          <w:szCs w:val="24"/>
          <w:highlight w:val="none"/>
          <w:lang w:eastAsia="zh-CN"/>
        </w:rPr>
        <w:t>壹拾肆</w:t>
      </w:r>
      <w:r>
        <w:rPr>
          <w:rFonts w:hint="eastAsia" w:ascii="Times New Roman" w:hAnsi="Times New Roman" w:eastAsia="宋体" w:cs="宋体"/>
          <w:sz w:val="24"/>
          <w:szCs w:val="24"/>
          <w:highlight w:val="none"/>
        </w:rPr>
        <w:t>万元整（¥</w:t>
      </w:r>
      <w:r>
        <w:rPr>
          <w:rFonts w:hint="eastAsia" w:cs="宋体"/>
          <w:sz w:val="24"/>
          <w:szCs w:val="24"/>
          <w:highlight w:val="none"/>
          <w:lang w:eastAsia="zh-CN"/>
        </w:rPr>
        <w:t>140</w:t>
      </w:r>
      <w:r>
        <w:rPr>
          <w:rFonts w:hint="eastAsia" w:ascii="Times New Roman" w:hAnsi="Times New Roman" w:eastAsia="宋体" w:cs="宋体"/>
          <w:sz w:val="24"/>
          <w:szCs w:val="24"/>
          <w:highlight w:val="none"/>
        </w:rPr>
        <w:t>,000.00）。缴纳方式可在以下两种中任选其一，请</w:t>
      </w:r>
      <w:r>
        <w:rPr>
          <w:rFonts w:hint="eastAsia" w:cs="宋体"/>
          <w:sz w:val="24"/>
          <w:szCs w:val="24"/>
          <w:highlight w:val="none"/>
          <w:lang w:eastAsia="zh-CN"/>
        </w:rPr>
        <w:t>注意</w:t>
      </w:r>
      <w:r>
        <w:rPr>
          <w:rFonts w:hint="eastAsia" w:ascii="Times New Roman" w:hAnsi="Times New Roman" w:eastAsia="宋体" w:cs="宋体"/>
          <w:sz w:val="24"/>
          <w:szCs w:val="24"/>
          <w:highlight w:val="none"/>
        </w:rPr>
        <w:t>按照规定时间办理。</w:t>
      </w:r>
    </w:p>
    <w:p w14:paraId="6708A45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方式一：银行转账</w:t>
      </w:r>
    </w:p>
    <w:p w14:paraId="1D9C8F6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开户名称：中山市公共交通运输集团有限公司</w:t>
      </w:r>
    </w:p>
    <w:p w14:paraId="27354968">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开户银行：建设银行中山市分行</w:t>
      </w:r>
    </w:p>
    <w:p w14:paraId="5A22A48D">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银行账号：44001780352051329960</w:t>
      </w:r>
    </w:p>
    <w:p w14:paraId="21341B72">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转账截止期：请于2025年12月</w:t>
      </w:r>
      <w:r>
        <w:rPr>
          <w:rFonts w:hint="eastAsia" w:cs="宋体"/>
          <w:sz w:val="24"/>
          <w:szCs w:val="24"/>
          <w:highlight w:val="none"/>
          <w:lang w:val="en-US" w:eastAsia="zh-CN"/>
        </w:rPr>
        <w:t>10</w:t>
      </w:r>
      <w:r>
        <w:rPr>
          <w:rFonts w:hint="eastAsia" w:ascii="Times New Roman" w:hAnsi="Times New Roman" w:eastAsia="宋体" w:cs="宋体"/>
          <w:sz w:val="24"/>
          <w:szCs w:val="24"/>
          <w:highlight w:val="none"/>
        </w:rPr>
        <w:t>日1</w:t>
      </w:r>
      <w:r>
        <w:rPr>
          <w:rFonts w:hint="eastAsia" w:cs="宋体"/>
          <w:sz w:val="24"/>
          <w:szCs w:val="24"/>
          <w:highlight w:val="none"/>
          <w:lang w:val="en-US" w:eastAsia="zh-CN"/>
        </w:rPr>
        <w:t>2</w:t>
      </w:r>
      <w:r>
        <w:rPr>
          <w:rFonts w:hint="eastAsia" w:ascii="Times New Roman" w:hAnsi="Times New Roman" w:eastAsia="宋体" w:cs="宋体"/>
          <w:sz w:val="24"/>
          <w:szCs w:val="24"/>
          <w:highlight w:val="none"/>
        </w:rPr>
        <w:t>:</w:t>
      </w:r>
      <w:r>
        <w:rPr>
          <w:rFonts w:hint="eastAsia" w:cs="宋体"/>
          <w:sz w:val="24"/>
          <w:szCs w:val="24"/>
          <w:highlight w:val="none"/>
          <w:lang w:val="en-US" w:eastAsia="zh-CN"/>
        </w:rPr>
        <w:t>0</w:t>
      </w:r>
      <w:r>
        <w:rPr>
          <w:rFonts w:hint="eastAsia" w:ascii="Times New Roman" w:hAnsi="Times New Roman" w:eastAsia="宋体" w:cs="宋体"/>
          <w:sz w:val="24"/>
          <w:szCs w:val="24"/>
          <w:highlight w:val="none"/>
        </w:rPr>
        <w:t>0前完成转账，并以银行系统记录的到账时间为准，建议提前操作以免延误。</w:t>
      </w:r>
    </w:p>
    <w:p w14:paraId="3472BFAC">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备注要求：转账时请务必备注以下信息：</w:t>
      </w:r>
      <w:r>
        <w:rPr>
          <w:rFonts w:hint="eastAsia" w:ascii="Times New Roman" w:hAnsi="Times New Roman" w:cs="宋体"/>
          <w:sz w:val="24"/>
          <w:szCs w:val="24"/>
          <w:highlight w:val="none"/>
          <w:lang w:eastAsia="zh-CN"/>
        </w:rPr>
        <w:t>中山公交</w:t>
      </w:r>
      <w:r>
        <w:rPr>
          <w:rFonts w:hint="eastAsia" w:ascii="Times New Roman" w:hAnsi="Times New Roman" w:eastAsia="宋体" w:cs="宋体"/>
          <w:sz w:val="24"/>
          <w:szCs w:val="24"/>
          <w:highlight w:val="none"/>
        </w:rPr>
        <w:t>2026年电力市场交易售电代理项目参评保证金。</w:t>
      </w:r>
    </w:p>
    <w:p w14:paraId="73DC078D">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退还机制：非中选单位的参评保证金，将在中选人签订合同后10个工作日内，通过银行渠道原路无息返还。若接收退款的账户与转账账户不一致，请按附件要求提前提交书面说明。若中选人未能按规定签订合同，其参评保证金将不予退还。</w:t>
      </w:r>
    </w:p>
    <w:p w14:paraId="34D02247">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方式二：独立保函</w:t>
      </w:r>
    </w:p>
    <w:p w14:paraId="7A6FE7DA">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保函性质与受益人：参评单位可提交</w:t>
      </w:r>
      <w:r>
        <w:rPr>
          <w:rFonts w:hint="eastAsia" w:cs="宋体"/>
          <w:sz w:val="24"/>
          <w:szCs w:val="24"/>
          <w:highlight w:val="none"/>
          <w:lang w:eastAsia="zh-CN"/>
        </w:rPr>
        <w:t>其</w:t>
      </w:r>
      <w:r>
        <w:rPr>
          <w:rFonts w:hint="eastAsia" w:ascii="Times New Roman" w:hAnsi="Times New Roman" w:eastAsia="宋体" w:cs="宋体"/>
          <w:sz w:val="24"/>
          <w:szCs w:val="24"/>
          <w:highlight w:val="none"/>
        </w:rPr>
        <w:t>基本户开户行开具的投标保函、以</w:t>
      </w:r>
      <w:r>
        <w:rPr>
          <w:rFonts w:hint="eastAsia" w:ascii="Times New Roman" w:hAnsi="Times New Roman" w:eastAsia="宋体" w:cs="宋体"/>
          <w:b/>
          <w:bCs/>
          <w:sz w:val="24"/>
          <w:szCs w:val="24"/>
          <w:highlight w:val="none"/>
        </w:rPr>
        <w:t>“中山市公共交通运输集团有限公司”为受益人</w:t>
      </w:r>
      <w:r>
        <w:rPr>
          <w:rFonts w:hint="eastAsia" w:cs="宋体"/>
          <w:b/>
          <w:bCs/>
          <w:sz w:val="24"/>
          <w:szCs w:val="24"/>
          <w:highlight w:val="none"/>
          <w:lang w:eastAsia="zh-CN"/>
        </w:rPr>
        <w:t>且</w:t>
      </w:r>
      <w:r>
        <w:rPr>
          <w:rFonts w:hint="eastAsia" w:ascii="Times New Roman" w:hAnsi="Times New Roman" w:eastAsia="宋体" w:cs="宋体"/>
          <w:b/>
          <w:bCs/>
          <w:sz w:val="24"/>
          <w:szCs w:val="24"/>
          <w:highlight w:val="none"/>
        </w:rPr>
        <w:t>不可撤销的见索即付保函</w:t>
      </w:r>
      <w:r>
        <w:rPr>
          <w:rFonts w:hint="eastAsia" w:ascii="Times New Roman" w:hAnsi="Times New Roman" w:eastAsia="宋体" w:cs="宋体"/>
          <w:sz w:val="24"/>
          <w:szCs w:val="24"/>
          <w:highlight w:val="none"/>
        </w:rPr>
        <w:t>。</w:t>
      </w:r>
    </w:p>
    <w:p w14:paraId="63A3CA86">
      <w:pPr>
        <w:pStyle w:val="7"/>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b/>
          <w:bCs/>
          <w:sz w:val="24"/>
          <w:szCs w:val="24"/>
          <w:highlight w:val="none"/>
        </w:rPr>
        <w:t>开具银行资格要求：出具保函的银行必须在中山市辖区内设立分行或支行</w:t>
      </w:r>
      <w:r>
        <w:rPr>
          <w:rFonts w:hint="eastAsia" w:ascii="Times New Roman" w:hAnsi="Times New Roman" w:eastAsia="宋体" w:cs="宋体"/>
          <w:sz w:val="24"/>
          <w:szCs w:val="24"/>
          <w:highlight w:val="none"/>
        </w:rPr>
        <w:t>。</w:t>
      </w:r>
    </w:p>
    <w:p w14:paraId="69C025C8">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独立性说明：该保函独立于评选文件及可能签订的合同。担保人仅依据保函载明的条款以及受益人提交的相符索赔文件履行付款义务，不介入或受限于基础合同的任何争议。</w:t>
      </w:r>
    </w:p>
    <w:p w14:paraId="778F6783">
      <w:pPr>
        <w:pStyle w:val="7"/>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有效期：覆盖</w:t>
      </w:r>
      <w:r>
        <w:rPr>
          <w:rFonts w:hint="eastAsia" w:ascii="Times New Roman" w:hAnsi="Times New Roman" w:eastAsia="宋体" w:cs="宋体"/>
          <w:sz w:val="24"/>
          <w:szCs w:val="24"/>
          <w:highlight w:val="yellow"/>
        </w:rPr>
        <w:t>202</w:t>
      </w:r>
      <w:r>
        <w:rPr>
          <w:rFonts w:hint="eastAsia" w:cs="宋体"/>
          <w:sz w:val="24"/>
          <w:szCs w:val="24"/>
          <w:highlight w:val="yellow"/>
          <w:lang w:val="en-US" w:eastAsia="zh-CN"/>
        </w:rPr>
        <w:t>5</w:t>
      </w:r>
      <w:r>
        <w:rPr>
          <w:rFonts w:hint="eastAsia" w:ascii="Times New Roman" w:hAnsi="Times New Roman" w:eastAsia="宋体" w:cs="宋体"/>
          <w:sz w:val="24"/>
          <w:szCs w:val="24"/>
          <w:highlight w:val="yellow"/>
        </w:rPr>
        <w:t>年1</w:t>
      </w:r>
      <w:r>
        <w:rPr>
          <w:rFonts w:hint="eastAsia" w:cs="宋体"/>
          <w:sz w:val="24"/>
          <w:szCs w:val="24"/>
          <w:highlight w:val="yellow"/>
          <w:lang w:val="en-US" w:eastAsia="zh-CN"/>
        </w:rPr>
        <w:t>2</w:t>
      </w:r>
      <w:r>
        <w:rPr>
          <w:rFonts w:hint="eastAsia" w:ascii="Times New Roman" w:hAnsi="Times New Roman" w:eastAsia="宋体" w:cs="宋体"/>
          <w:sz w:val="24"/>
          <w:szCs w:val="24"/>
          <w:highlight w:val="yellow"/>
        </w:rPr>
        <w:t>月</w:t>
      </w:r>
      <w:r>
        <w:rPr>
          <w:rFonts w:hint="eastAsia" w:cs="宋体"/>
          <w:sz w:val="24"/>
          <w:szCs w:val="24"/>
          <w:highlight w:val="yellow"/>
          <w:lang w:val="en-US" w:eastAsia="zh-CN"/>
        </w:rPr>
        <w:t>10</w:t>
      </w:r>
      <w:r>
        <w:rPr>
          <w:rFonts w:hint="eastAsia" w:ascii="Times New Roman" w:hAnsi="Times New Roman" w:eastAsia="宋体" w:cs="宋体"/>
          <w:sz w:val="24"/>
          <w:szCs w:val="24"/>
          <w:highlight w:val="yellow"/>
        </w:rPr>
        <w:t>日至202</w:t>
      </w:r>
      <w:r>
        <w:rPr>
          <w:rFonts w:hint="eastAsia" w:cs="宋体"/>
          <w:sz w:val="24"/>
          <w:szCs w:val="24"/>
          <w:highlight w:val="yellow"/>
          <w:lang w:val="en-US" w:eastAsia="zh-CN"/>
        </w:rPr>
        <w:t>6</w:t>
      </w:r>
      <w:r>
        <w:rPr>
          <w:rFonts w:hint="eastAsia" w:ascii="Times New Roman" w:hAnsi="Times New Roman" w:eastAsia="宋体" w:cs="宋体"/>
          <w:sz w:val="24"/>
          <w:szCs w:val="24"/>
          <w:highlight w:val="yellow"/>
        </w:rPr>
        <w:t>年</w:t>
      </w:r>
      <w:r>
        <w:rPr>
          <w:rFonts w:hint="eastAsia" w:cs="宋体"/>
          <w:sz w:val="24"/>
          <w:szCs w:val="24"/>
          <w:highlight w:val="yellow"/>
          <w:lang w:val="en-US" w:eastAsia="zh-CN"/>
        </w:rPr>
        <w:t>1</w:t>
      </w:r>
      <w:r>
        <w:rPr>
          <w:rFonts w:hint="eastAsia" w:ascii="Times New Roman" w:hAnsi="Times New Roman" w:eastAsia="宋体" w:cs="宋体"/>
          <w:sz w:val="24"/>
          <w:szCs w:val="24"/>
          <w:highlight w:val="yellow"/>
        </w:rPr>
        <w:t>月1</w:t>
      </w:r>
      <w:r>
        <w:rPr>
          <w:rFonts w:hint="eastAsia" w:cs="宋体"/>
          <w:sz w:val="24"/>
          <w:szCs w:val="24"/>
          <w:highlight w:val="yellow"/>
          <w:lang w:val="en-US" w:eastAsia="zh-CN"/>
        </w:rPr>
        <w:t>5</w:t>
      </w:r>
      <w:r>
        <w:rPr>
          <w:rFonts w:hint="eastAsia" w:ascii="Times New Roman" w:hAnsi="Times New Roman" w:eastAsia="宋体" w:cs="宋体"/>
          <w:sz w:val="24"/>
          <w:szCs w:val="24"/>
          <w:highlight w:val="yellow"/>
        </w:rPr>
        <w:t>日</w:t>
      </w:r>
      <w:r>
        <w:rPr>
          <w:rFonts w:hint="eastAsia" w:ascii="Times New Roman" w:hAnsi="Times New Roman" w:eastAsia="宋体" w:cs="宋体"/>
          <w:sz w:val="24"/>
          <w:szCs w:val="24"/>
          <w:highlight w:val="none"/>
        </w:rPr>
        <w:t>。</w:t>
      </w:r>
    </w:p>
    <w:p w14:paraId="11933F3C">
      <w:pPr>
        <w:pStyle w:val="8"/>
        <w:keepNext w:val="0"/>
        <w:keepLines w:val="0"/>
        <w:pageBreakBefore w:val="0"/>
        <w:widowControl w:val="0"/>
        <w:kinsoku/>
        <w:wordWrap/>
        <w:overflowPunct/>
        <w:topLinePunct w:val="0"/>
        <w:autoSpaceDE/>
        <w:autoSpaceDN/>
        <w:bidi w:val="0"/>
        <w:adjustRightInd/>
        <w:snapToGrid/>
        <w:spacing w:afterLines="0" w:line="560" w:lineRule="exact"/>
        <w:ind w:left="0" w:firstLine="480" w:firstLineChars="200"/>
        <w:textAlignment w:val="auto"/>
        <w:rPr>
          <w:rFonts w:ascii="Times New Roman" w:hAnsi="Times New Roman" w:cs="宋体"/>
          <w:b w:val="0"/>
          <w:bCs w:val="0"/>
          <w:sz w:val="24"/>
          <w:szCs w:val="24"/>
          <w:highlight w:val="none"/>
        </w:rPr>
      </w:pPr>
      <w:r>
        <w:rPr>
          <w:rFonts w:hint="eastAsia" w:ascii="Times New Roman" w:hAnsi="Times New Roman" w:cs="宋体"/>
          <w:b w:val="0"/>
          <w:bCs w:val="0"/>
          <w:sz w:val="24"/>
          <w:szCs w:val="24"/>
          <w:highlight w:val="none"/>
          <w:lang w:eastAsia="zh-CN"/>
        </w:rPr>
        <w:t>六</w:t>
      </w:r>
      <w:r>
        <w:rPr>
          <w:rFonts w:hint="eastAsia" w:ascii="Times New Roman" w:hAnsi="Times New Roman" w:cs="宋体"/>
          <w:b w:val="0"/>
          <w:bCs w:val="0"/>
          <w:sz w:val="24"/>
          <w:szCs w:val="24"/>
          <w:highlight w:val="none"/>
          <w:lang w:val="en-US" w:eastAsia="zh-CN"/>
        </w:rPr>
        <w:t>、</w:t>
      </w:r>
      <w:r>
        <w:rPr>
          <w:rFonts w:hint="eastAsia" w:ascii="Times New Roman" w:hAnsi="Times New Roman" w:cs="宋体"/>
          <w:b w:val="0"/>
          <w:bCs w:val="0"/>
          <w:sz w:val="24"/>
          <w:szCs w:val="24"/>
          <w:highlight w:val="none"/>
          <w:lang w:eastAsia="zh-CN"/>
        </w:rPr>
        <w:t>需求方</w:t>
      </w:r>
      <w:r>
        <w:rPr>
          <w:rFonts w:hint="eastAsia" w:cs="宋体"/>
          <w:b w:val="0"/>
          <w:bCs w:val="0"/>
          <w:sz w:val="24"/>
          <w:szCs w:val="24"/>
          <w:highlight w:val="none"/>
          <w:lang w:eastAsia="zh-CN"/>
        </w:rPr>
        <w:t>咨询</w:t>
      </w:r>
      <w:r>
        <w:rPr>
          <w:rFonts w:ascii="Times New Roman" w:hAnsi="Times New Roman" w:cs="宋体"/>
          <w:b w:val="0"/>
          <w:bCs w:val="0"/>
          <w:sz w:val="24"/>
          <w:szCs w:val="24"/>
          <w:highlight w:val="none"/>
        </w:rPr>
        <w:t>方式</w:t>
      </w:r>
    </w:p>
    <w:p w14:paraId="45BDD8C3">
      <w:pPr>
        <w:keepNext w:val="0"/>
        <w:keepLines w:val="0"/>
        <w:pageBreakBefore w:val="0"/>
        <w:widowControl w:val="0"/>
        <w:kinsoku/>
        <w:wordWrap/>
        <w:overflowPunct/>
        <w:topLinePunct w:val="0"/>
        <w:autoSpaceDE/>
        <w:autoSpaceDN/>
        <w:bidi w:val="0"/>
        <w:adjustRightInd/>
        <w:snapToGrid/>
        <w:spacing w:afterLines="0" w:line="560" w:lineRule="exact"/>
        <w:ind w:firstLine="480" w:firstLineChars="200"/>
        <w:textAlignment w:val="auto"/>
        <w:rPr>
          <w:rFonts w:hint="default" w:ascii="Times New Roman" w:hAnsi="Times New Roman" w:cs="宋体"/>
          <w:sz w:val="24"/>
          <w:szCs w:val="24"/>
          <w:highlight w:val="none"/>
          <w:lang w:val="en-US" w:eastAsia="zh-CN"/>
        </w:rPr>
      </w:pPr>
      <w:r>
        <w:rPr>
          <w:rFonts w:hint="eastAsia" w:ascii="Times New Roman" w:hAnsi="Times New Roman" w:cs="宋体"/>
          <w:bCs/>
          <w:sz w:val="24"/>
          <w:szCs w:val="24"/>
          <w:highlight w:val="none"/>
          <w:lang w:eastAsia="zh-CN"/>
        </w:rPr>
        <w:t>（</w:t>
      </w:r>
      <w:r>
        <w:rPr>
          <w:rFonts w:hint="eastAsia" w:ascii="Times New Roman" w:hAnsi="Times New Roman" w:cs="宋体"/>
          <w:bCs/>
          <w:sz w:val="24"/>
          <w:szCs w:val="24"/>
          <w:highlight w:val="none"/>
          <w:lang w:val="en-US" w:eastAsia="zh-CN"/>
        </w:rPr>
        <w:t>一</w:t>
      </w:r>
      <w:r>
        <w:rPr>
          <w:rFonts w:hint="eastAsia" w:ascii="Times New Roman" w:hAnsi="Times New Roman" w:cs="宋体"/>
          <w:bCs/>
          <w:sz w:val="24"/>
          <w:szCs w:val="24"/>
          <w:highlight w:val="none"/>
          <w:lang w:eastAsia="zh-CN"/>
        </w:rPr>
        <w:t>）</w:t>
      </w:r>
      <w:r>
        <w:rPr>
          <w:rFonts w:hint="eastAsia" w:ascii="Times New Roman" w:hAnsi="Times New Roman" w:cs="宋体"/>
          <w:bCs/>
          <w:sz w:val="24"/>
          <w:szCs w:val="24"/>
          <w:highlight w:val="none"/>
          <w:lang w:val="en-US" w:eastAsia="zh-CN"/>
        </w:rPr>
        <w:t>联系人及联系电话：梁先生</w:t>
      </w:r>
      <w:r>
        <w:rPr>
          <w:rFonts w:hint="eastAsia" w:ascii="Times New Roman" w:hAnsi="Times New Roman" w:cs="宋体"/>
          <w:sz w:val="24"/>
          <w:szCs w:val="24"/>
          <w:highlight w:val="none"/>
          <w:lang w:val="en-US" w:eastAsia="zh-CN"/>
        </w:rPr>
        <w:t>13822773460，0760-87328786</w:t>
      </w:r>
    </w:p>
    <w:p w14:paraId="7748E3A8">
      <w:pPr>
        <w:pStyle w:val="17"/>
        <w:spacing w:line="560" w:lineRule="exact"/>
        <w:ind w:left="0" w:firstLine="480"/>
        <w:rPr>
          <w:rFonts w:hint="eastAsia"/>
          <w:highlight w:val="none"/>
          <w:lang w:val="en-US" w:eastAsia="zh-CN"/>
        </w:rPr>
      </w:pPr>
      <w:r>
        <w:rPr>
          <w:rFonts w:hint="eastAsia" w:ascii="Times New Roman" w:hAnsi="Times New Roman" w:cs="宋体"/>
          <w:sz w:val="24"/>
          <w:szCs w:val="24"/>
          <w:highlight w:val="none"/>
          <w:lang w:val="en-US" w:eastAsia="zh-CN"/>
        </w:rPr>
        <w:t>（二）</w:t>
      </w:r>
      <w:r>
        <w:rPr>
          <w:rFonts w:ascii="Times New Roman" w:hAnsi="Times New Roman" w:cs="宋体"/>
          <w:bCs/>
          <w:sz w:val="24"/>
          <w:szCs w:val="24"/>
          <w:highlight w:val="none"/>
        </w:rPr>
        <w:t>联系地址：</w:t>
      </w:r>
      <w:r>
        <w:rPr>
          <w:rFonts w:hint="eastAsia" w:ascii="Times New Roman" w:hAnsi="Times New Roman" w:cs="宋体"/>
          <w:bCs/>
          <w:sz w:val="24"/>
          <w:szCs w:val="24"/>
          <w:highlight w:val="none"/>
          <w:lang w:val="en-US" w:eastAsia="zh-CN"/>
        </w:rPr>
        <w:t>中山市南区城南三路38号</w:t>
      </w:r>
    </w:p>
    <w:p w14:paraId="672245DD">
      <w:pPr>
        <w:rPr>
          <w:highlight w:val="none"/>
        </w:rPr>
      </w:pPr>
      <w:r>
        <w:rPr>
          <w:highlight w:val="none"/>
        </w:rPr>
        <w:br w:type="page"/>
      </w:r>
    </w:p>
    <w:p w14:paraId="2859C68B">
      <w:pPr>
        <w:numPr>
          <w:ilvl w:val="0"/>
          <w:numId w:val="8"/>
        </w:numPr>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用户需求书</w:t>
      </w:r>
    </w:p>
    <w:p w14:paraId="6565A20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本项目凡是加注“★”符号的内容为</w:t>
      </w:r>
      <w:r>
        <w:rPr>
          <w:rFonts w:hint="eastAsia" w:ascii="宋体" w:hAnsi="宋体" w:eastAsia="宋体" w:cs="宋体"/>
          <w:b/>
          <w:bCs/>
          <w:color w:val="000000" w:themeColor="text1"/>
          <w:sz w:val="24"/>
          <w:szCs w:val="24"/>
          <w:highlight w:val="none"/>
          <w:u w:val="single"/>
          <w14:textFill>
            <w14:solidFill>
              <w14:schemeClr w14:val="tx1"/>
            </w14:solidFill>
          </w14:textFill>
        </w:rPr>
        <w:t>必须</w:t>
      </w:r>
      <w:r>
        <w:rPr>
          <w:rFonts w:hint="eastAsia" w:ascii="宋体" w:hAnsi="宋体" w:eastAsia="宋体" w:cs="宋体"/>
          <w:color w:val="000000" w:themeColor="text1"/>
          <w:sz w:val="24"/>
          <w:szCs w:val="24"/>
          <w:highlight w:val="none"/>
          <w14:textFill>
            <w14:solidFill>
              <w14:schemeClr w14:val="tx1"/>
            </w14:solidFill>
          </w14:textFill>
        </w:rPr>
        <w:t>响应满足的重要指标，如不响应或响应不足，</w:t>
      </w:r>
      <w:r>
        <w:rPr>
          <w:rFonts w:hint="eastAsia" w:ascii="宋体" w:hAnsi="宋体" w:cs="宋体"/>
          <w:color w:val="000000" w:themeColor="text1"/>
          <w:sz w:val="24"/>
          <w:szCs w:val="24"/>
          <w:highlight w:val="none"/>
          <w:lang w:eastAsia="zh-CN"/>
          <w14:textFill>
            <w14:solidFill>
              <w14:schemeClr w14:val="tx1"/>
            </w14:solidFill>
          </w14:textFill>
        </w:rPr>
        <w:t>需求方</w:t>
      </w:r>
      <w:r>
        <w:rPr>
          <w:rFonts w:hint="eastAsia" w:ascii="宋体" w:hAnsi="宋体" w:eastAsia="宋体" w:cs="宋体"/>
          <w:color w:val="000000" w:themeColor="text1"/>
          <w:sz w:val="24"/>
          <w:szCs w:val="24"/>
          <w:highlight w:val="none"/>
          <w14:textFill>
            <w14:solidFill>
              <w14:schemeClr w14:val="tx1"/>
            </w14:solidFill>
          </w14:textFill>
        </w:rPr>
        <w:t>有权视为</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参评单位</w:t>
      </w:r>
      <w:r>
        <w:rPr>
          <w:rFonts w:hint="eastAsia" w:ascii="宋体" w:hAnsi="宋体" w:eastAsia="宋体" w:cs="宋体"/>
          <w:color w:val="000000" w:themeColor="text1"/>
          <w:sz w:val="24"/>
          <w:szCs w:val="24"/>
          <w:highlight w:val="none"/>
          <w14:textFill>
            <w14:solidFill>
              <w14:schemeClr w14:val="tx1"/>
            </w14:solidFill>
          </w14:textFill>
        </w:rPr>
        <w:t>放弃参加评选资格</w:t>
      </w:r>
      <w:r>
        <w:rPr>
          <w:rFonts w:hint="eastAsia" w:ascii="宋体" w:hAnsi="宋体" w:cs="宋体"/>
          <w:color w:val="000000" w:themeColor="text1"/>
          <w:sz w:val="24"/>
          <w:szCs w:val="24"/>
          <w:highlight w:val="none"/>
          <w:lang w:eastAsia="zh-CN"/>
          <w14:textFill>
            <w14:solidFill>
              <w14:schemeClr w14:val="tx1"/>
            </w14:solidFill>
          </w14:textFill>
        </w:rPr>
        <w:t>）</w:t>
      </w:r>
    </w:p>
    <w:p w14:paraId="7AFDC816">
      <w:pPr>
        <w:widowControl/>
        <w:numPr>
          <w:ilvl w:val="0"/>
          <w:numId w:val="9"/>
        </w:numPr>
        <w:tabs>
          <w:tab w:val="left" w:pos="540"/>
        </w:tabs>
        <w:spacing w:line="360" w:lineRule="auto"/>
        <w:ind w:left="0" w:firstLine="480" w:firstLineChars="200"/>
        <w:jc w:val="left"/>
        <w:rPr>
          <w:rFonts w:hint="eastAsia" w:ascii="宋体" w:hAnsi="宋体" w:cs="宋体"/>
          <w:color w:val="auto"/>
          <w:sz w:val="24"/>
          <w:szCs w:val="24"/>
          <w:highlight w:val="none"/>
          <w:lang w:val="en-US" w:eastAsia="zh-CN"/>
        </w:rPr>
      </w:pPr>
      <w:bookmarkStart w:id="0" w:name="_Toc425695873"/>
      <w:bookmarkStart w:id="1" w:name="_Toc15740"/>
      <w:bookmarkStart w:id="2" w:name="_Toc409007561"/>
      <w:r>
        <w:rPr>
          <w:rFonts w:hint="eastAsia" w:ascii="宋体" w:hAnsi="宋体" w:cs="宋体"/>
          <w:color w:val="auto"/>
          <w:sz w:val="24"/>
          <w:szCs w:val="24"/>
          <w:highlight w:val="none"/>
          <w:lang w:val="en-US" w:eastAsia="zh-CN"/>
        </w:rPr>
        <w:t>结算价格要求</w:t>
      </w:r>
    </w:p>
    <w:p w14:paraId="5D9293F2">
      <w:pPr>
        <w:keepNext w:val="0"/>
        <w:keepLines w:val="0"/>
        <w:pageBreakBefore w:val="0"/>
        <w:widowControl w:val="0"/>
        <w:numPr>
          <w:ilvl w:val="0"/>
          <w:numId w:val="10"/>
        </w:numPr>
        <w:kinsoku/>
        <w:wordWrap/>
        <w:overflowPunct/>
        <w:topLinePunct w:val="0"/>
        <w:autoSpaceDE/>
        <w:autoSpaceDN w:val="0"/>
        <w:bidi w:val="0"/>
        <w:adjustRightInd/>
        <w:snapToGrid/>
        <w:spacing w:line="360" w:lineRule="auto"/>
        <w:ind w:left="0" w:leftChars="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★结算机制</w:t>
      </w:r>
    </w:p>
    <w:p w14:paraId="66295861">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采用固定价格+联动价格的组合模式：</w:t>
      </w:r>
    </w:p>
    <w:p w14:paraId="5069B2BD">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固定价格电量：占总电量的85%，按固定价格结算</w:t>
      </w:r>
    </w:p>
    <w:p w14:paraId="056C5B59">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联动价格电量：占总电量的15%，与日前市场月度综合价联动</w:t>
      </w:r>
    </w:p>
    <w:p w14:paraId="7BBBF1C0">
      <w:pPr>
        <w:keepNext w:val="0"/>
        <w:keepLines w:val="0"/>
        <w:pageBreakBefore w:val="0"/>
        <w:widowControl w:val="0"/>
        <w:numPr>
          <w:ilvl w:val="0"/>
          <w:numId w:val="10"/>
        </w:numPr>
        <w:kinsoku/>
        <w:wordWrap/>
        <w:overflowPunct/>
        <w:topLinePunct w:val="0"/>
        <w:autoSpaceDE/>
        <w:autoSpaceDN w:val="0"/>
        <w:bidi w:val="0"/>
        <w:adjustRightInd/>
        <w:snapToGrid/>
        <w:spacing w:line="360" w:lineRule="auto"/>
        <w:ind w:left="0" w:leftChars="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★价格限定</w:t>
      </w:r>
    </w:p>
    <w:p w14:paraId="125D14F9">
      <w:pPr>
        <w:autoSpaceDN w:val="0"/>
        <w:spacing w:line="360" w:lineRule="auto"/>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固定价格上限：含税372厘/千瓦时</w:t>
      </w:r>
    </w:p>
    <w:p w14:paraId="0CCC8988">
      <w:pPr>
        <w:autoSpaceDN w:val="0"/>
        <w:spacing w:line="360" w:lineRule="auto"/>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固定价格下限：按广东省能源主管部门发布的相关政策执行</w:t>
      </w:r>
    </w:p>
    <w:p w14:paraId="3751713D">
      <w:pPr>
        <w:autoSpaceDN w:val="0"/>
        <w:spacing w:line="360" w:lineRule="auto"/>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color w:val="auto"/>
          <w:sz w:val="24"/>
          <w:szCs w:val="24"/>
          <w:highlight w:val="none"/>
          <w:lang w:val="en-US" w:eastAsia="zh-CN"/>
        </w:rPr>
        <w:t>偏差电量考核：由中选单位自行承担</w:t>
      </w:r>
    </w:p>
    <w:p w14:paraId="4C811A06">
      <w:pPr>
        <w:widowControl/>
        <w:numPr>
          <w:ilvl w:val="0"/>
          <w:numId w:val="9"/>
        </w:numPr>
        <w:tabs>
          <w:tab w:val="left" w:pos="540"/>
        </w:tabs>
        <w:spacing w:line="360" w:lineRule="auto"/>
        <w:ind w:left="0" w:firstLine="480" w:firstLineChars="200"/>
        <w:jc w:val="left"/>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b/>
          <w:bCs/>
          <w:color w:val="auto"/>
          <w:sz w:val="24"/>
          <w:szCs w:val="24"/>
          <w:highlight w:val="none"/>
          <w:lang w:val="en-US" w:eastAsia="zh-CN"/>
        </w:rPr>
        <w:t>履约担保要求</w:t>
      </w:r>
    </w:p>
    <w:p w14:paraId="1CD4C404">
      <w:pPr>
        <w:keepNext w:val="0"/>
        <w:keepLines w:val="0"/>
        <w:pageBreakBefore w:val="0"/>
        <w:widowControl w:val="0"/>
        <w:numPr>
          <w:ilvl w:val="0"/>
          <w:numId w:val="11"/>
        </w:numPr>
        <w:kinsoku/>
        <w:wordWrap/>
        <w:overflowPunct/>
        <w:topLinePunct w:val="0"/>
        <w:autoSpaceDE/>
        <w:autoSpaceDN w:val="0"/>
        <w:bidi w:val="0"/>
        <w:adjustRightInd/>
        <w:snapToGrid/>
        <w:spacing w:line="360" w:lineRule="auto"/>
        <w:ind w:left="0" w:leftChars="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履约保证金</w:t>
      </w:r>
    </w:p>
    <w:p w14:paraId="032A1DB0">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中选人应在合同签订后15日内，向需求方缴纳履约保证金或提交由其基本户开户银行出具的、以“中山市公共交通运输集团有限公司”为受益人且不可撤销见索即付的银行履约保函</w:t>
      </w:r>
    </w:p>
    <w:p w14:paraId="66079058">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担保金额：人民币柒拾万元整（¥700,000.00）</w:t>
      </w:r>
    </w:p>
    <w:p w14:paraId="6C7BBB0B">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有效期：覆盖2026年1月1日至至2027年3月31日</w:t>
      </w:r>
    </w:p>
    <w:p w14:paraId="42938EF9">
      <w:pPr>
        <w:keepNext w:val="0"/>
        <w:keepLines w:val="0"/>
        <w:pageBreakBefore w:val="0"/>
        <w:widowControl w:val="0"/>
        <w:numPr>
          <w:ilvl w:val="0"/>
          <w:numId w:val="11"/>
        </w:numPr>
        <w:kinsoku/>
        <w:wordWrap/>
        <w:overflowPunct/>
        <w:topLinePunct w:val="0"/>
        <w:autoSpaceDE/>
        <w:autoSpaceDN w:val="0"/>
        <w:bidi w:val="0"/>
        <w:adjustRightInd/>
        <w:snapToGrid/>
        <w:spacing w:line="360" w:lineRule="auto"/>
        <w:ind w:left="0" w:leftChars="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违约处理</w:t>
      </w:r>
    </w:p>
    <w:p w14:paraId="2E941494">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中选人发生违约行为的，需求方有权从履约保证金中扣除违约金及所造成的损失。履约保证金不足以抵扣的，中选人须向需求方另行支付</w:t>
      </w:r>
    </w:p>
    <w:p w14:paraId="475C8361">
      <w:pPr>
        <w:keepNext w:val="0"/>
        <w:keepLines w:val="0"/>
        <w:pageBreakBefore w:val="0"/>
        <w:widowControl w:val="0"/>
        <w:kinsoku/>
        <w:wordWrap/>
        <w:overflowPunct/>
        <w:topLinePunct w:val="0"/>
        <w:autoSpaceDE/>
        <w:autoSpaceDN w:val="0"/>
        <w:bidi w:val="0"/>
        <w:adjustRightInd/>
        <w:snapToGrid/>
        <w:spacing w:line="360" w:lineRule="auto"/>
        <w:ind w:left="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补缴机制：中选人应在每次被扣除履约保证金后5个工作日内补缴被扣除金额，超过期限未补足的，以未补足金额为基数，按全国银行间同业拆借中心公布的一年期贷款市场报价利率（LPR）的四倍按日计算逾期缴纳违约金</w:t>
      </w:r>
    </w:p>
    <w:p w14:paraId="6BB1D96A">
      <w:pPr>
        <w:keepNext w:val="0"/>
        <w:keepLines w:val="0"/>
        <w:pageBreakBefore w:val="0"/>
        <w:widowControl w:val="0"/>
        <w:numPr>
          <w:ilvl w:val="0"/>
          <w:numId w:val="11"/>
        </w:numPr>
        <w:kinsoku/>
        <w:wordWrap/>
        <w:overflowPunct/>
        <w:topLinePunct w:val="0"/>
        <w:autoSpaceDE/>
        <w:autoSpaceDN w:val="0"/>
        <w:bidi w:val="0"/>
        <w:adjustRightInd/>
        <w:snapToGrid/>
        <w:spacing w:line="360" w:lineRule="auto"/>
        <w:ind w:left="0" w:leftChars="0"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期满结算</w:t>
      </w:r>
    </w:p>
    <w:p w14:paraId="104DC6B2">
      <w:pPr>
        <w:autoSpaceDN w:val="0"/>
        <w:spacing w:line="360" w:lineRule="auto"/>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合同结束后5个工作日内：</w:t>
      </w:r>
    </w:p>
    <w:p w14:paraId="71B6CF2E">
      <w:pPr>
        <w:autoSpaceDN w:val="0"/>
        <w:spacing w:line="360" w:lineRule="auto"/>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中选人无违约的，需求方无息退还全额履约保证金</w:t>
      </w:r>
    </w:p>
    <w:p w14:paraId="36B30E86">
      <w:pPr>
        <w:autoSpaceDN w:val="0"/>
        <w:spacing w:line="360" w:lineRule="auto"/>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中选人出现违约的，需求方无息退还扣除违约金及损失后剩余款项</w:t>
      </w:r>
    </w:p>
    <w:p w14:paraId="50A42775">
      <w:pPr>
        <w:widowControl/>
        <w:numPr>
          <w:ilvl w:val="0"/>
          <w:numId w:val="9"/>
        </w:numPr>
        <w:tabs>
          <w:tab w:val="left" w:pos="540"/>
        </w:tabs>
        <w:spacing w:line="360" w:lineRule="auto"/>
        <w:ind w:left="0" w:firstLine="482" w:firstLineChars="20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增值服务要求</w:t>
      </w:r>
    </w:p>
    <w:p w14:paraId="7AA1B9B3">
      <w:pPr>
        <w:keepNext w:val="0"/>
        <w:keepLines w:val="0"/>
        <w:pageBreakBefore w:val="0"/>
        <w:widowControl/>
        <w:numPr>
          <w:ilvl w:val="0"/>
          <w:numId w:val="12"/>
        </w:numPr>
        <w:tabs>
          <w:tab w:val="left" w:pos="540"/>
        </w:tabs>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★变压器专业巡检服务</w:t>
      </w:r>
    </w:p>
    <w:p w14:paraId="1534A40E">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中选人（</w:t>
      </w:r>
      <w:r>
        <w:rPr>
          <w:rFonts w:hint="eastAsia" w:ascii="宋体" w:hAnsi="宋体" w:cs="宋体"/>
          <w:b w:val="0"/>
          <w:bCs w:val="0"/>
          <w:color w:val="auto"/>
          <w:sz w:val="24"/>
          <w:szCs w:val="24"/>
          <w:highlight w:val="yellow"/>
          <w:lang w:val="en-US" w:eastAsia="zh-CN"/>
        </w:rPr>
        <w:t>或其合作资质单位</w:t>
      </w:r>
      <w:r>
        <w:rPr>
          <w:rFonts w:hint="eastAsia" w:ascii="宋体" w:hAnsi="宋体" w:cs="宋体"/>
          <w:b w:val="0"/>
          <w:bCs w:val="0"/>
          <w:color w:val="auto"/>
          <w:sz w:val="24"/>
          <w:szCs w:val="24"/>
          <w:highlight w:val="none"/>
          <w:lang w:val="en-US" w:eastAsia="zh-CN"/>
        </w:rPr>
        <w:t>）为需求方32台变压器提供专业化巡检，提供年度检测报告、安全评估清单及可行性整改方案。</w:t>
      </w:r>
    </w:p>
    <w:p w14:paraId="3504F954">
      <w:pPr>
        <w:keepNext w:val="0"/>
        <w:keepLines w:val="0"/>
        <w:pageBreakBefore w:val="0"/>
        <w:widowControl/>
        <w:numPr>
          <w:ilvl w:val="0"/>
          <w:numId w:val="12"/>
        </w:numPr>
        <w:tabs>
          <w:tab w:val="left" w:pos="540"/>
        </w:tabs>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★光伏组件清洗服务</w:t>
      </w:r>
    </w:p>
    <w:p w14:paraId="106CDFCB">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中选人（</w:t>
      </w:r>
      <w:r>
        <w:rPr>
          <w:rFonts w:hint="eastAsia" w:ascii="宋体" w:hAnsi="宋体" w:cs="宋体"/>
          <w:b w:val="0"/>
          <w:bCs w:val="0"/>
          <w:color w:val="auto"/>
          <w:sz w:val="24"/>
          <w:szCs w:val="24"/>
          <w:highlight w:val="yellow"/>
          <w:lang w:val="en-US" w:eastAsia="zh-CN"/>
        </w:rPr>
        <w:t>或其合作资质单位</w:t>
      </w:r>
      <w:r>
        <w:rPr>
          <w:rFonts w:hint="eastAsia" w:ascii="宋体" w:hAnsi="宋体" w:cs="宋体"/>
          <w:b w:val="0"/>
          <w:bCs w:val="0"/>
          <w:color w:val="auto"/>
          <w:sz w:val="24"/>
          <w:szCs w:val="24"/>
          <w:highlight w:val="none"/>
          <w:lang w:val="en-US" w:eastAsia="zh-CN"/>
        </w:rPr>
        <w:t>）为需求方深中跨市公交博览中心枢纽站屋顶47.415kW光伏（无楼梯）2026年度提供清洗服务不少于3次。</w:t>
      </w:r>
    </w:p>
    <w:p w14:paraId="3210BB02">
      <w:pPr>
        <w:keepNext w:val="0"/>
        <w:keepLines w:val="0"/>
        <w:pageBreakBefore w:val="0"/>
        <w:widowControl/>
        <w:numPr>
          <w:ilvl w:val="0"/>
          <w:numId w:val="12"/>
        </w:numPr>
        <w:tabs>
          <w:tab w:val="left" w:pos="540"/>
        </w:tabs>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★屋顶光伏建设项目</w:t>
      </w:r>
    </w:p>
    <w:p w14:paraId="4D2C14BD">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中选人（</w:t>
      </w:r>
      <w:r>
        <w:rPr>
          <w:rFonts w:hint="eastAsia" w:ascii="宋体" w:hAnsi="宋体" w:cs="宋体"/>
          <w:b w:val="0"/>
          <w:bCs w:val="0"/>
          <w:color w:val="auto"/>
          <w:sz w:val="24"/>
          <w:szCs w:val="24"/>
          <w:highlight w:val="yellow"/>
          <w:lang w:val="en-US" w:eastAsia="zh-CN"/>
        </w:rPr>
        <w:t>或其合作资质单位</w:t>
      </w:r>
      <w:r>
        <w:rPr>
          <w:rFonts w:hint="eastAsia" w:ascii="宋体" w:hAnsi="宋体" w:cs="宋体"/>
          <w:b w:val="0"/>
          <w:bCs w:val="0"/>
          <w:color w:val="auto"/>
          <w:sz w:val="24"/>
          <w:szCs w:val="24"/>
          <w:highlight w:val="none"/>
          <w:lang w:val="en-US" w:eastAsia="zh-CN"/>
        </w:rPr>
        <w:t>）为需求方多个公交站场建设</w:t>
      </w:r>
      <w:r>
        <w:rPr>
          <w:rFonts w:hint="eastAsia" w:ascii="宋体" w:hAnsi="宋体" w:cs="宋体"/>
          <w:b/>
          <w:bCs/>
          <w:color w:val="auto"/>
          <w:sz w:val="24"/>
          <w:szCs w:val="24"/>
          <w:highlight w:val="yellow"/>
          <w:lang w:val="en-US" w:eastAsia="zh-CN"/>
        </w:rPr>
        <w:t>至少一项</w:t>
      </w:r>
      <w:r>
        <w:rPr>
          <w:rFonts w:hint="eastAsia" w:ascii="宋体" w:hAnsi="宋体" w:cs="宋体"/>
          <w:b w:val="0"/>
          <w:bCs w:val="0"/>
          <w:color w:val="auto"/>
          <w:sz w:val="24"/>
          <w:szCs w:val="24"/>
          <w:highlight w:val="none"/>
          <w:lang w:val="en-US" w:eastAsia="zh-CN"/>
        </w:rPr>
        <w:t>屋顶光伏项目，</w:t>
      </w:r>
      <w:r>
        <w:rPr>
          <w:rFonts w:hint="eastAsia" w:ascii="宋体" w:hAnsi="宋体" w:cs="宋体"/>
          <w:b/>
          <w:bCs/>
          <w:color w:val="auto"/>
          <w:sz w:val="24"/>
          <w:szCs w:val="24"/>
          <w:highlight w:val="yellow"/>
          <w:lang w:val="en-US" w:eastAsia="zh-CN"/>
        </w:rPr>
        <w:t>光伏项目建成后，资产移交需求方，日常运营管理及全部运营收益由需求方负责和享有</w:t>
      </w:r>
      <w:r>
        <w:rPr>
          <w:rFonts w:hint="eastAsia" w:ascii="宋体" w:hAnsi="宋体" w:cs="宋体"/>
          <w:b w:val="0"/>
          <w:bCs w:val="0"/>
          <w:color w:val="auto"/>
          <w:sz w:val="24"/>
          <w:szCs w:val="24"/>
          <w:highlight w:val="none"/>
          <w:lang w:val="en-US" w:eastAsia="zh-CN"/>
        </w:rPr>
        <w:t>。</w:t>
      </w:r>
    </w:p>
    <w:p w14:paraId="627A93CE">
      <w:pPr>
        <w:keepNext w:val="0"/>
        <w:keepLines w:val="0"/>
        <w:pageBreakBefore w:val="0"/>
        <w:widowControl/>
        <w:numPr>
          <w:ilvl w:val="0"/>
          <w:numId w:val="13"/>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项目明细</w:t>
      </w:r>
    </w:p>
    <w:p w14:paraId="00FBE855">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城南公交场站：工程额定容量117.00kW</w:t>
      </w:r>
    </w:p>
    <w:p w14:paraId="304F2F32">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坦洲公交场站：可研容量283.22kW</w:t>
      </w:r>
    </w:p>
    <w:p w14:paraId="264EECEC">
      <w:pPr>
        <w:keepNext w:val="0"/>
        <w:keepLines w:val="0"/>
        <w:pageBreakBefore w:val="0"/>
        <w:widowControl/>
        <w:numPr>
          <w:ilvl w:val="0"/>
          <w:numId w:val="13"/>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技术规范要求</w:t>
      </w:r>
    </w:p>
    <w:p w14:paraId="60DAC819">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并网模式：自发自用，余电上网</w:t>
      </w:r>
    </w:p>
    <w:p w14:paraId="1A209645">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光伏组件：采用650W组件，功率偏差0~+3W，转换效率≥24.1%，首年衰减≤1%，后续年衰减≤0.35%，防护等级IP68，工作温度-40℃至+85℃，通过IEC61215、IEC61730国际认证，质保期≥12年</w:t>
      </w:r>
    </w:p>
    <w:p w14:paraId="40F8DB22">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逆变器：转换效率≥98%，防护等级IP66，最大输入电压≥1000VDC，启动电压≤200VDC，MPPT电压范围150-1000VDC，过载能力：110%过载1小时、150%过载10秒，质保期≥5年</w:t>
      </w:r>
    </w:p>
    <w:p w14:paraId="5D900B1A">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整体性能：光伏电站高压并网整体效率≥80.6%</w:t>
      </w:r>
    </w:p>
    <w:p w14:paraId="5474666A">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项目质保：整体质保期2年，质保期内每年提供不少于3次清洗服务</w:t>
      </w:r>
    </w:p>
    <w:p w14:paraId="6369B43C">
      <w:pPr>
        <w:keepNext w:val="0"/>
        <w:keepLines w:val="0"/>
        <w:pageBreakBefore w:val="0"/>
        <w:widowControl/>
        <w:numPr>
          <w:ilvl w:val="0"/>
          <w:numId w:val="13"/>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工期与违约责任</w:t>
      </w:r>
    </w:p>
    <w:p w14:paraId="2996C14C">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工期要求：签订补充合同之日起60个日历天内完成</w:t>
      </w:r>
    </w:p>
    <w:p w14:paraId="454CA117">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逾期处理：自逾期限起，中选人按1000元/天·项目向需求方支付逾期金</w:t>
      </w:r>
    </w:p>
    <w:p w14:paraId="29322FF9">
      <w:pPr>
        <w:keepNext w:val="0"/>
        <w:keepLines w:val="0"/>
        <w:pageBreakBefore w:val="0"/>
        <w:widowControl/>
        <w:numPr>
          <w:ilvl w:val="0"/>
          <w:numId w:val="12"/>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公交充电站建设</w:t>
      </w:r>
    </w:p>
    <w:p w14:paraId="057F3F45">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中选人（</w:t>
      </w:r>
      <w:r>
        <w:rPr>
          <w:rFonts w:hint="default" w:ascii="宋体" w:hAnsi="宋体" w:cs="宋体"/>
          <w:b w:val="0"/>
          <w:bCs w:val="0"/>
          <w:color w:val="auto"/>
          <w:sz w:val="24"/>
          <w:szCs w:val="24"/>
          <w:highlight w:val="yellow"/>
          <w:lang w:val="en-US" w:eastAsia="zh-CN"/>
        </w:rPr>
        <w:t>或其合作资质单位</w:t>
      </w:r>
      <w:r>
        <w:rPr>
          <w:rFonts w:hint="default" w:ascii="宋体" w:hAnsi="宋体" w:cs="宋体"/>
          <w:b w:val="0"/>
          <w:bCs w:val="0"/>
          <w:color w:val="auto"/>
          <w:sz w:val="24"/>
          <w:szCs w:val="24"/>
          <w:highlight w:val="none"/>
          <w:lang w:val="en-US" w:eastAsia="zh-CN"/>
        </w:rPr>
        <w:t>）为需求方多个公交站场（枢纽站）建设充电站，</w:t>
      </w:r>
      <w:r>
        <w:rPr>
          <w:rFonts w:hint="default" w:ascii="宋体" w:hAnsi="宋体" w:cs="宋体"/>
          <w:b/>
          <w:bCs/>
          <w:color w:val="auto"/>
          <w:sz w:val="24"/>
          <w:szCs w:val="24"/>
          <w:highlight w:val="yellow"/>
          <w:lang w:val="en-US" w:eastAsia="zh-CN"/>
        </w:rPr>
        <w:t>充电站</w:t>
      </w:r>
      <w:r>
        <w:rPr>
          <w:rFonts w:hint="eastAsia" w:ascii="宋体" w:hAnsi="宋体" w:cs="宋体"/>
          <w:b/>
          <w:bCs/>
          <w:color w:val="auto"/>
          <w:sz w:val="24"/>
          <w:szCs w:val="24"/>
          <w:highlight w:val="yellow"/>
          <w:lang w:val="en-US" w:eastAsia="zh-CN"/>
        </w:rPr>
        <w:t>建成后，资产移交需求方，日常运营管理及全部运营收益由需求方负责和享有</w:t>
      </w:r>
      <w:r>
        <w:rPr>
          <w:rFonts w:hint="default" w:ascii="宋体" w:hAnsi="宋体" w:cs="宋体"/>
          <w:b w:val="0"/>
          <w:bCs w:val="0"/>
          <w:color w:val="auto"/>
          <w:sz w:val="24"/>
          <w:szCs w:val="24"/>
          <w:highlight w:val="none"/>
          <w:lang w:val="en-US" w:eastAsia="zh-CN"/>
        </w:rPr>
        <w:t>。</w:t>
      </w:r>
    </w:p>
    <w:p w14:paraId="6A6BD6D2">
      <w:pPr>
        <w:keepNext w:val="0"/>
        <w:keepLines w:val="0"/>
        <w:pageBreakBefore w:val="0"/>
        <w:widowControl/>
        <w:numPr>
          <w:ilvl w:val="0"/>
          <w:numId w:val="14"/>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项目明细</w:t>
      </w:r>
    </w:p>
    <w:p w14:paraId="0847A51C">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①广丰公交枢纽站：需配置800kVA欧式箱变1台、一体式双枪200kW直流充电桩3台、钢结构雨棚尺寸长20米*宽6米*高4.6米。</w:t>
      </w:r>
    </w:p>
    <w:p w14:paraId="10D311D0">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②开发区会展中心公交枢纽站：需配置630kVA箱变1台，以及640kW柔性充电系统1套、配备10个直流充电终端，无雨棚。</w:t>
      </w:r>
    </w:p>
    <w:p w14:paraId="595CE7D1">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③海湾城公交枢纽站：现有630kVA变压器1台，需配置一体式双枪200kW直流充电桩3台、钢结构雨棚尺寸长15*宽10.5*高4.6米。</w:t>
      </w:r>
    </w:p>
    <w:p w14:paraId="2B6419D0">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④沙溪佳兆业公交枢纽站：需配置630kVA箱变1台，以及640kW柔性充电系统1套、配备8个直流充电终端，无雨棚。</w:t>
      </w:r>
    </w:p>
    <w:p w14:paraId="0AC345DC">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⑤濠东公交站场社会车辆充电站：需配置800kVA欧式箱变2台，以及800kW柔性充电系统2套，每套系统配备10个直流充电终端，其中包括1个液冷超充终端，无雨棚。</w:t>
      </w:r>
    </w:p>
    <w:p w14:paraId="546C99BD">
      <w:pPr>
        <w:keepNext w:val="0"/>
        <w:keepLines w:val="0"/>
        <w:pageBreakBefore w:val="0"/>
        <w:widowControl/>
        <w:numPr>
          <w:ilvl w:val="0"/>
          <w:numId w:val="14"/>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技术规范要求</w:t>
      </w:r>
    </w:p>
    <w:p w14:paraId="138D7A6A">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变压器箱体全不锈钢材质。</w:t>
      </w:r>
    </w:p>
    <w:p w14:paraId="0DFA9554">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充电终端需带触控操作屏幕。</w:t>
      </w:r>
    </w:p>
    <w:p w14:paraId="091F495B">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项目质量保修期 4 年，其中充电设备整机质保期4年</w:t>
      </w:r>
      <w:r>
        <w:rPr>
          <w:rFonts w:hint="eastAsia" w:ascii="宋体" w:hAnsi="宋体" w:cs="宋体"/>
          <w:b w:val="0"/>
          <w:bCs w:val="0"/>
          <w:color w:val="auto"/>
          <w:sz w:val="24"/>
          <w:szCs w:val="24"/>
          <w:highlight w:val="none"/>
          <w:lang w:val="en-US" w:eastAsia="zh-CN"/>
        </w:rPr>
        <w:t>。</w:t>
      </w:r>
    </w:p>
    <w:p w14:paraId="24A48A9E">
      <w:pPr>
        <w:keepNext w:val="0"/>
        <w:keepLines w:val="0"/>
        <w:pageBreakBefore w:val="0"/>
        <w:widowControl/>
        <w:numPr>
          <w:ilvl w:val="0"/>
          <w:numId w:val="14"/>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工期与违约责任</w:t>
      </w:r>
    </w:p>
    <w:p w14:paraId="0B7358DF">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工期要求：签订补充合同之日起210个日历天内完成</w:t>
      </w:r>
    </w:p>
    <w:p w14:paraId="586641AD">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逾期处理：自逾期限起，中选人按1000元/天·项目向需求方支付逾期金</w:t>
      </w:r>
    </w:p>
    <w:p w14:paraId="285A326E">
      <w:pPr>
        <w:keepNext w:val="0"/>
        <w:keepLines w:val="0"/>
        <w:pageBreakBefore w:val="0"/>
        <w:widowControl/>
        <w:numPr>
          <w:ilvl w:val="0"/>
          <w:numId w:val="12"/>
        </w:numPr>
        <w:tabs>
          <w:tab w:val="left" w:pos="540"/>
        </w:tabs>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储能技术服务费用</w:t>
      </w:r>
    </w:p>
    <w:p w14:paraId="4A4D8575">
      <w:pPr>
        <w:keepNext w:val="0"/>
        <w:keepLines w:val="0"/>
        <w:pageBreakBefore w:val="0"/>
        <w:widowControl/>
        <w:numPr>
          <w:ilvl w:val="0"/>
          <w:numId w:val="0"/>
        </w:numPr>
        <w:tabs>
          <w:tab w:val="left" w:pos="540"/>
        </w:tabs>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需求方与合作单位已投入运行的储能系统总容量为‌4.7兆瓦时，需求方每月向合作单位支付‌储能系统放电技术服务费用‌。‌中选人基于其运营状况和风险评估结果，自主确定承担该费用的若干额度。</w:t>
      </w:r>
      <w:r>
        <w:rPr>
          <w:rFonts w:hint="eastAsia" w:ascii="宋体" w:hAnsi="宋体" w:cs="宋体"/>
          <w:b w:val="0"/>
          <w:bCs w:val="0"/>
          <w:color w:val="auto"/>
          <w:sz w:val="24"/>
          <w:szCs w:val="24"/>
          <w:highlight w:val="yellow"/>
          <w:lang w:val="en-US" w:eastAsia="zh-CN"/>
        </w:rPr>
        <w:t>（需求方、需求方供应商、中选人签订三方协议，中选人代付相应额度给需求方供应商，需求方供应商开具收据给中选人）</w:t>
      </w:r>
    </w:p>
    <w:p w14:paraId="6A83A480">
      <w:pPr>
        <w:widowControl/>
        <w:numPr>
          <w:ilvl w:val="0"/>
          <w:numId w:val="9"/>
        </w:numPr>
        <w:tabs>
          <w:tab w:val="left" w:pos="540"/>
        </w:tabs>
        <w:spacing w:line="360" w:lineRule="auto"/>
        <w:ind w:left="0" w:firstLine="482" w:firstLineChars="20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★合同签订</w:t>
      </w:r>
    </w:p>
    <w:p w14:paraId="4175A0BE">
      <w:pPr>
        <w:numPr>
          <w:ilvl w:val="0"/>
          <w:numId w:val="0"/>
        </w:numPr>
        <w:spacing w:line="360" w:lineRule="auto"/>
        <w:ind w:firstLine="480" w:firstLineChars="200"/>
        <w:jc w:val="left"/>
        <w:rPr>
          <w:rFonts w:hint="eastAsia" w:ascii="宋体" w:hAnsi="宋体" w:cs="宋体"/>
          <w:i w:val="0"/>
          <w:iCs w:val="0"/>
          <w:caps w:val="0"/>
          <w:spacing w:val="0"/>
          <w:sz w:val="24"/>
          <w:szCs w:val="24"/>
          <w:highlight w:val="none"/>
          <w:shd w:val="clear"/>
          <w:lang w:eastAsia="zh-CN"/>
        </w:rPr>
      </w:pPr>
      <w:r>
        <w:rPr>
          <w:rFonts w:hint="eastAsia" w:ascii="宋体" w:hAnsi="宋体" w:eastAsia="宋体" w:cs="宋体"/>
          <w:sz w:val="24"/>
          <w:highlight w:val="none"/>
          <w:lang w:val="en-US" w:eastAsia="zh-CN"/>
        </w:rPr>
        <w:t>确定</w:t>
      </w:r>
      <w:r>
        <w:rPr>
          <w:rFonts w:hint="eastAsia" w:ascii="宋体" w:hAnsi="宋体" w:cs="宋体"/>
          <w:sz w:val="24"/>
          <w:highlight w:val="none"/>
          <w:lang w:val="en-US" w:eastAsia="zh-CN"/>
        </w:rPr>
        <w:t>中选人</w:t>
      </w:r>
      <w:r>
        <w:rPr>
          <w:rFonts w:hint="eastAsia" w:ascii="宋体" w:hAnsi="宋体" w:eastAsia="宋体" w:cs="宋体"/>
          <w:sz w:val="24"/>
          <w:highlight w:val="none"/>
          <w:lang w:val="en-US" w:eastAsia="zh-CN"/>
        </w:rPr>
        <w:t>后，</w:t>
      </w:r>
      <w:r>
        <w:rPr>
          <w:rFonts w:hint="eastAsia" w:ascii="宋体" w:hAnsi="宋体" w:cs="宋体"/>
          <w:sz w:val="24"/>
          <w:highlight w:val="none"/>
          <w:lang w:val="en-US" w:eastAsia="zh-CN"/>
        </w:rPr>
        <w:t>中选人须在收到</w:t>
      </w:r>
      <w:r>
        <w:rPr>
          <w:rFonts w:hint="eastAsia" w:ascii="宋体" w:hAnsi="宋体" w:eastAsia="宋体" w:cs="宋体"/>
          <w:sz w:val="24"/>
          <w:highlight w:val="none"/>
          <w:lang w:val="en-US" w:eastAsia="zh-CN"/>
        </w:rPr>
        <w:t>《中选通知书》</w:t>
      </w:r>
      <w:r>
        <w:rPr>
          <w:rFonts w:hint="eastAsia" w:ascii="宋体" w:hAnsi="宋体" w:cs="宋体"/>
          <w:sz w:val="24"/>
          <w:highlight w:val="none"/>
          <w:lang w:val="en-US" w:eastAsia="zh-CN"/>
        </w:rPr>
        <w:t>后</w:t>
      </w:r>
      <w:r>
        <w:rPr>
          <w:rFonts w:hint="eastAsia" w:ascii="宋体" w:hAnsi="宋体" w:eastAsia="宋体" w:cs="宋体"/>
          <w:sz w:val="24"/>
          <w:highlight w:val="none"/>
          <w:lang w:val="en-US" w:eastAsia="zh-CN"/>
        </w:rPr>
        <w:t>2个</w:t>
      </w:r>
      <w:r>
        <w:rPr>
          <w:rFonts w:hint="eastAsia" w:ascii="宋体" w:hAnsi="宋体" w:cs="宋体"/>
          <w:sz w:val="24"/>
          <w:highlight w:val="none"/>
          <w:lang w:val="en-US" w:eastAsia="zh-CN"/>
        </w:rPr>
        <w:t>日历天与需求方</w:t>
      </w:r>
      <w:r>
        <w:rPr>
          <w:rFonts w:hint="eastAsia" w:ascii="宋体" w:hAnsi="宋体" w:eastAsia="宋体" w:cs="宋体"/>
          <w:sz w:val="24"/>
          <w:highlight w:val="none"/>
          <w:lang w:val="en-US" w:eastAsia="zh-CN"/>
        </w:rPr>
        <w:t>在广东电力市场交易系统签订</w:t>
      </w:r>
      <w:r>
        <w:rPr>
          <w:rFonts w:hint="eastAsia" w:ascii="宋体" w:hAnsi="宋体" w:cs="宋体"/>
          <w:sz w:val="24"/>
          <w:highlight w:val="none"/>
          <w:lang w:val="en-US" w:eastAsia="zh-CN"/>
        </w:rPr>
        <w:t>线上合同，如因为中选人原因未</w:t>
      </w:r>
      <w:r>
        <w:rPr>
          <w:rFonts w:hint="eastAsia" w:ascii="宋体" w:hAnsi="宋体" w:eastAsia="宋体" w:cs="宋体"/>
          <w:sz w:val="24"/>
          <w:highlight w:val="none"/>
          <w:lang w:val="en-US" w:eastAsia="zh-CN"/>
        </w:rPr>
        <w:t>签订</w:t>
      </w:r>
      <w:r>
        <w:rPr>
          <w:rFonts w:hint="eastAsia" w:ascii="宋体" w:hAnsi="宋体" w:cs="宋体"/>
          <w:sz w:val="24"/>
          <w:highlight w:val="none"/>
          <w:lang w:val="en-US" w:eastAsia="zh-CN"/>
        </w:rPr>
        <w:t>线上合同</w:t>
      </w:r>
      <w:r>
        <w:rPr>
          <w:rFonts w:hint="eastAsia" w:ascii="宋体" w:hAnsi="宋体" w:cs="宋体"/>
          <w:i w:val="0"/>
          <w:iCs w:val="0"/>
          <w:caps w:val="0"/>
          <w:spacing w:val="0"/>
          <w:sz w:val="24"/>
          <w:szCs w:val="24"/>
          <w:highlight w:val="none"/>
          <w:shd w:val="clear"/>
          <w:lang w:val="en-US" w:eastAsia="zh-CN"/>
        </w:rPr>
        <w:t>或放弃中选资格的</w:t>
      </w:r>
      <w:r>
        <w:rPr>
          <w:rStyle w:val="20"/>
          <w:rFonts w:hint="eastAsia" w:ascii="宋体" w:hAnsi="宋体" w:cs="宋体"/>
          <w:i w:val="0"/>
          <w:iCs w:val="0"/>
          <w:caps w:val="0"/>
          <w:color w:val="auto"/>
          <w:spacing w:val="0"/>
          <w:sz w:val="24"/>
          <w:szCs w:val="24"/>
          <w:highlight w:val="none"/>
          <w:shd w:val="clear"/>
          <w:lang w:eastAsia="zh-CN"/>
        </w:rPr>
        <w:t>，</w:t>
      </w:r>
      <w:r>
        <w:rPr>
          <w:rFonts w:hint="eastAsia" w:ascii="宋体" w:hAnsi="宋体" w:cs="宋体"/>
          <w:i w:val="0"/>
          <w:iCs w:val="0"/>
          <w:caps w:val="0"/>
          <w:spacing w:val="0"/>
          <w:sz w:val="24"/>
          <w:szCs w:val="24"/>
          <w:highlight w:val="none"/>
          <w:shd w:val="clear"/>
          <w:lang w:val="en-US" w:eastAsia="zh-CN"/>
        </w:rPr>
        <w:t>需求方</w:t>
      </w:r>
      <w:r>
        <w:rPr>
          <w:rStyle w:val="20"/>
          <w:rFonts w:hint="eastAsia" w:ascii="宋体" w:hAnsi="宋体" w:eastAsia="宋体" w:cs="宋体"/>
          <w:i w:val="0"/>
          <w:iCs w:val="0"/>
          <w:caps w:val="0"/>
          <w:color w:val="auto"/>
          <w:spacing w:val="0"/>
          <w:sz w:val="24"/>
          <w:szCs w:val="24"/>
          <w:highlight w:val="none"/>
          <w:shd w:val="clear"/>
        </w:rPr>
        <w:t>取消其</w:t>
      </w:r>
      <w:r>
        <w:rPr>
          <w:rStyle w:val="20"/>
          <w:rFonts w:hint="eastAsia" w:ascii="宋体" w:hAnsi="宋体" w:cs="宋体"/>
          <w:i w:val="0"/>
          <w:iCs w:val="0"/>
          <w:caps w:val="0"/>
          <w:color w:val="auto"/>
          <w:spacing w:val="0"/>
          <w:sz w:val="24"/>
          <w:szCs w:val="24"/>
          <w:highlight w:val="none"/>
          <w:shd w:val="clear"/>
          <w:lang w:eastAsia="zh-CN"/>
        </w:rPr>
        <w:t>中选</w:t>
      </w:r>
      <w:r>
        <w:rPr>
          <w:rStyle w:val="20"/>
          <w:rFonts w:hint="eastAsia" w:ascii="宋体" w:hAnsi="宋体" w:eastAsia="宋体" w:cs="宋体"/>
          <w:i w:val="0"/>
          <w:iCs w:val="0"/>
          <w:caps w:val="0"/>
          <w:color w:val="auto"/>
          <w:spacing w:val="0"/>
          <w:sz w:val="24"/>
          <w:szCs w:val="24"/>
          <w:highlight w:val="none"/>
          <w:shd w:val="clear"/>
        </w:rPr>
        <w:t>资格</w:t>
      </w:r>
      <w:r>
        <w:rPr>
          <w:rFonts w:hint="eastAsia" w:ascii="宋体" w:hAnsi="宋体" w:cs="宋体"/>
          <w:i w:val="0"/>
          <w:iCs w:val="0"/>
          <w:caps w:val="0"/>
          <w:spacing w:val="0"/>
          <w:sz w:val="24"/>
          <w:szCs w:val="24"/>
          <w:highlight w:val="none"/>
          <w:shd w:val="clear"/>
          <w:lang w:val="en-US" w:eastAsia="zh-CN"/>
        </w:rPr>
        <w:t>且</w:t>
      </w:r>
      <w:r>
        <w:rPr>
          <w:rStyle w:val="20"/>
          <w:rFonts w:hint="eastAsia" w:ascii="宋体" w:hAnsi="宋体" w:eastAsia="宋体" w:cs="宋体"/>
          <w:i w:val="0"/>
          <w:iCs w:val="0"/>
          <w:caps w:val="0"/>
          <w:color w:val="auto"/>
          <w:spacing w:val="0"/>
          <w:sz w:val="24"/>
          <w:szCs w:val="24"/>
          <w:highlight w:val="none"/>
          <w:shd w:val="clear"/>
        </w:rPr>
        <w:t>不予退还</w:t>
      </w:r>
      <w:r>
        <w:rPr>
          <w:rStyle w:val="20"/>
          <w:rFonts w:hint="eastAsia" w:ascii="宋体" w:hAnsi="宋体" w:cs="宋体"/>
          <w:i w:val="0"/>
          <w:iCs w:val="0"/>
          <w:caps w:val="0"/>
          <w:color w:val="auto"/>
          <w:spacing w:val="0"/>
          <w:sz w:val="24"/>
          <w:szCs w:val="24"/>
          <w:highlight w:val="none"/>
          <w:shd w:val="clear"/>
          <w:lang w:eastAsia="zh-CN"/>
        </w:rPr>
        <w:t>参评</w:t>
      </w:r>
      <w:r>
        <w:rPr>
          <w:rStyle w:val="20"/>
          <w:rFonts w:hint="eastAsia" w:ascii="宋体" w:hAnsi="宋体" w:eastAsia="宋体" w:cs="宋体"/>
          <w:i w:val="0"/>
          <w:iCs w:val="0"/>
          <w:caps w:val="0"/>
          <w:color w:val="auto"/>
          <w:spacing w:val="0"/>
          <w:sz w:val="24"/>
          <w:szCs w:val="24"/>
          <w:highlight w:val="none"/>
          <w:shd w:val="clear"/>
        </w:rPr>
        <w:t>保证金</w:t>
      </w:r>
      <w:r>
        <w:rPr>
          <w:rFonts w:hint="eastAsia" w:ascii="宋体" w:hAnsi="宋体" w:cs="宋体"/>
          <w:i w:val="0"/>
          <w:iCs w:val="0"/>
          <w:caps w:val="0"/>
          <w:spacing w:val="0"/>
          <w:sz w:val="24"/>
          <w:szCs w:val="24"/>
          <w:highlight w:val="none"/>
          <w:shd w:val="clear"/>
          <w:lang w:eastAsia="zh-CN"/>
        </w:rPr>
        <w:t>，</w:t>
      </w:r>
      <w:r>
        <w:rPr>
          <w:rFonts w:hint="eastAsia" w:ascii="宋体" w:hAnsi="宋体" w:cs="宋体"/>
          <w:i w:val="0"/>
          <w:iCs w:val="0"/>
          <w:caps w:val="0"/>
          <w:spacing w:val="0"/>
          <w:sz w:val="24"/>
          <w:szCs w:val="24"/>
          <w:highlight w:val="none"/>
          <w:shd w:val="clear"/>
          <w:lang w:val="en-US" w:eastAsia="zh-CN"/>
        </w:rPr>
        <w:t>并按顺序</w:t>
      </w:r>
      <w:r>
        <w:rPr>
          <w:rFonts w:hint="eastAsia" w:ascii="宋体" w:hAnsi="宋体" w:eastAsia="宋体" w:cs="宋体"/>
          <w:i w:val="0"/>
          <w:iCs w:val="0"/>
          <w:caps w:val="0"/>
          <w:color w:val="auto"/>
          <w:spacing w:val="0"/>
          <w:sz w:val="24"/>
          <w:szCs w:val="24"/>
          <w:highlight w:val="none"/>
          <w:shd w:val="clear" w:fill="auto"/>
        </w:rPr>
        <w:t>选择</w:t>
      </w:r>
      <w:r>
        <w:rPr>
          <w:rFonts w:hint="eastAsia" w:ascii="宋体" w:hAnsi="宋体" w:cs="宋体"/>
          <w:i w:val="0"/>
          <w:iCs w:val="0"/>
          <w:caps w:val="0"/>
          <w:color w:val="auto"/>
          <w:spacing w:val="0"/>
          <w:sz w:val="24"/>
          <w:szCs w:val="24"/>
          <w:highlight w:val="none"/>
          <w:shd w:val="clear" w:fill="auto"/>
          <w:lang w:val="en-US" w:eastAsia="zh-CN"/>
        </w:rPr>
        <w:t>次名</w:t>
      </w:r>
      <w:r>
        <w:rPr>
          <w:rFonts w:hint="eastAsia" w:ascii="宋体" w:hAnsi="宋体" w:cs="宋体"/>
          <w:i w:val="0"/>
          <w:iCs w:val="0"/>
          <w:caps w:val="0"/>
          <w:color w:val="auto"/>
          <w:spacing w:val="0"/>
          <w:sz w:val="24"/>
          <w:szCs w:val="24"/>
          <w:highlight w:val="none"/>
          <w:shd w:val="clear" w:fill="auto"/>
          <w:lang w:eastAsia="zh-CN"/>
        </w:rPr>
        <w:t>中选</w:t>
      </w:r>
      <w:r>
        <w:rPr>
          <w:rFonts w:hint="eastAsia" w:ascii="宋体" w:hAnsi="宋体" w:eastAsia="宋体" w:cs="宋体"/>
          <w:i w:val="0"/>
          <w:iCs w:val="0"/>
          <w:caps w:val="0"/>
          <w:color w:val="auto"/>
          <w:spacing w:val="0"/>
          <w:sz w:val="24"/>
          <w:szCs w:val="24"/>
          <w:highlight w:val="none"/>
          <w:shd w:val="clear" w:fill="auto"/>
        </w:rPr>
        <w:t>候选人作为</w:t>
      </w:r>
      <w:r>
        <w:rPr>
          <w:rFonts w:hint="eastAsia" w:ascii="宋体" w:hAnsi="宋体" w:cs="宋体"/>
          <w:i w:val="0"/>
          <w:iCs w:val="0"/>
          <w:caps w:val="0"/>
          <w:color w:val="auto"/>
          <w:spacing w:val="0"/>
          <w:sz w:val="24"/>
          <w:szCs w:val="24"/>
          <w:highlight w:val="none"/>
          <w:shd w:val="clear" w:fill="auto"/>
          <w:lang w:eastAsia="zh-CN"/>
        </w:rPr>
        <w:t>中选人，</w:t>
      </w:r>
      <w:r>
        <w:rPr>
          <w:rFonts w:hint="eastAsia" w:ascii="宋体" w:hAnsi="宋体" w:cs="宋体"/>
          <w:i w:val="0"/>
          <w:iCs w:val="0"/>
          <w:caps w:val="0"/>
          <w:color w:val="auto"/>
          <w:spacing w:val="0"/>
          <w:sz w:val="24"/>
          <w:szCs w:val="24"/>
          <w:highlight w:val="none"/>
          <w:shd w:val="clear" w:fill="auto"/>
          <w:lang w:val="en-US" w:eastAsia="zh-CN"/>
        </w:rPr>
        <w:t>以此类推</w:t>
      </w:r>
      <w:r>
        <w:rPr>
          <w:rFonts w:hint="eastAsia" w:ascii="宋体" w:hAnsi="宋体" w:cs="宋体"/>
          <w:i w:val="0"/>
          <w:iCs w:val="0"/>
          <w:caps w:val="0"/>
          <w:spacing w:val="0"/>
          <w:sz w:val="24"/>
          <w:szCs w:val="24"/>
          <w:highlight w:val="none"/>
          <w:shd w:val="clear"/>
          <w:lang w:eastAsia="zh-CN"/>
        </w:rPr>
        <w:t>。</w:t>
      </w:r>
    </w:p>
    <w:p w14:paraId="465F38E6">
      <w:pPr>
        <w:autoSpaceDN w:val="0"/>
        <w:spacing w:line="360" w:lineRule="auto"/>
        <w:ind w:firstLine="480" w:firstLineChars="200"/>
        <w:jc w:val="left"/>
        <w:textAlignment w:val="center"/>
        <w:rPr>
          <w:rFonts w:hint="eastAsia" w:ascii="宋体" w:hAnsi="宋体" w:cs="宋体"/>
          <w:sz w:val="24"/>
          <w:highlight w:val="none"/>
        </w:rPr>
      </w:pPr>
      <w:r>
        <w:rPr>
          <w:rFonts w:hint="eastAsia" w:ascii="宋体" w:hAnsi="宋体" w:eastAsia="宋体" w:cs="宋体"/>
          <w:sz w:val="24"/>
          <w:highlight w:val="none"/>
        </w:rPr>
        <w:t>双方签订</w:t>
      </w:r>
      <w:r>
        <w:rPr>
          <w:rFonts w:hint="eastAsia" w:ascii="宋体" w:hAnsi="宋体" w:cs="宋体"/>
          <w:sz w:val="24"/>
          <w:highlight w:val="none"/>
          <w:lang w:val="en-US" w:eastAsia="zh-CN"/>
        </w:rPr>
        <w:t>线上</w:t>
      </w:r>
      <w:r>
        <w:rPr>
          <w:rFonts w:hint="eastAsia" w:ascii="宋体" w:hAnsi="宋体" w:eastAsia="宋体" w:cs="宋体"/>
          <w:sz w:val="24"/>
          <w:highlight w:val="none"/>
        </w:rPr>
        <w:t>合同</w:t>
      </w:r>
      <w:r>
        <w:rPr>
          <w:rFonts w:hint="eastAsia" w:ascii="宋体" w:hAnsi="宋体" w:cs="宋体"/>
          <w:sz w:val="24"/>
          <w:highlight w:val="none"/>
          <w:lang w:eastAsia="zh-CN"/>
        </w:rPr>
        <w:t>后，另外按附件的</w:t>
      </w:r>
      <w:r>
        <w:rPr>
          <w:rFonts w:hint="eastAsia" w:ascii="宋体" w:hAnsi="宋体" w:cs="宋体"/>
          <w:sz w:val="24"/>
          <w:highlight w:val="none"/>
          <w:lang w:val="en-US" w:eastAsia="zh-CN"/>
        </w:rPr>
        <w:t>补充</w:t>
      </w:r>
      <w:r>
        <w:rPr>
          <w:rFonts w:hint="eastAsia" w:ascii="宋体" w:hAnsi="宋体" w:cs="宋体"/>
          <w:sz w:val="24"/>
          <w:highlight w:val="none"/>
        </w:rPr>
        <w:t>合同书格式</w:t>
      </w:r>
      <w:r>
        <w:rPr>
          <w:rFonts w:hint="eastAsia" w:ascii="宋体" w:hAnsi="宋体" w:cs="宋体"/>
          <w:sz w:val="24"/>
          <w:highlight w:val="none"/>
          <w:lang w:eastAsia="zh-CN"/>
        </w:rPr>
        <w:t>签订</w:t>
      </w:r>
      <w:r>
        <w:rPr>
          <w:rFonts w:hint="eastAsia" w:ascii="宋体" w:hAnsi="宋体" w:cs="宋体"/>
          <w:sz w:val="24"/>
          <w:highlight w:val="none"/>
          <w:lang w:val="en-US" w:eastAsia="zh-CN"/>
        </w:rPr>
        <w:t>线上</w:t>
      </w:r>
      <w:r>
        <w:rPr>
          <w:rFonts w:hint="eastAsia" w:ascii="宋体" w:hAnsi="宋体" w:cs="宋体"/>
          <w:sz w:val="24"/>
          <w:highlight w:val="none"/>
          <w:lang w:eastAsia="zh-CN"/>
        </w:rPr>
        <w:t>合同</w:t>
      </w:r>
      <w:r>
        <w:rPr>
          <w:rFonts w:hint="eastAsia" w:ascii="宋体" w:hAnsi="宋体" w:cs="宋体"/>
          <w:sz w:val="24"/>
          <w:highlight w:val="none"/>
          <w:lang w:val="en-US" w:eastAsia="zh-CN"/>
        </w:rPr>
        <w:t>的补充合同</w:t>
      </w:r>
      <w:r>
        <w:rPr>
          <w:rFonts w:hint="eastAsia" w:ascii="宋体" w:hAnsi="宋体" w:cs="宋体"/>
          <w:sz w:val="24"/>
          <w:highlight w:val="none"/>
        </w:rPr>
        <w:t>。</w:t>
      </w:r>
    </w:p>
    <w:p w14:paraId="58AA2B1C">
      <w:pPr>
        <w:autoSpaceDN w:val="0"/>
        <w:spacing w:line="360" w:lineRule="auto"/>
        <w:ind w:firstLine="480" w:firstLineChars="200"/>
        <w:jc w:val="left"/>
        <w:textAlignment w:val="center"/>
        <w:rPr>
          <w:rFonts w:hint="eastAsia" w:ascii="宋体" w:hAnsi="宋体" w:cs="宋体"/>
          <w:sz w:val="24"/>
          <w:highlight w:val="none"/>
          <w:lang w:val="en-US" w:eastAsia="zh-CN"/>
        </w:rPr>
      </w:pPr>
    </w:p>
    <w:p w14:paraId="05ACF626">
      <w:pPr>
        <w:numPr>
          <w:ilvl w:val="0"/>
          <w:numId w:val="8"/>
        </w:numPr>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cs="仿宋"/>
          <w:sz w:val="32"/>
          <w:szCs w:val="32"/>
          <w:highlight w:val="none"/>
        </w:rPr>
        <w:br w:type="page"/>
      </w:r>
      <w:r>
        <w:rPr>
          <w:rFonts w:hint="eastAsia" w:ascii="宋体" w:hAnsi="宋体" w:eastAsia="宋体" w:cs="宋体"/>
          <w:b/>
          <w:bCs/>
          <w:color w:val="000000" w:themeColor="text1"/>
          <w:sz w:val="32"/>
          <w:szCs w:val="32"/>
          <w:highlight w:val="none"/>
          <w14:textFill>
            <w14:solidFill>
              <w14:schemeClr w14:val="tx1"/>
            </w14:solidFill>
          </w14:textFill>
        </w:rPr>
        <w:t>评选办法</w:t>
      </w:r>
    </w:p>
    <w:p w14:paraId="357FE8B9">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评选小组</w:t>
      </w:r>
    </w:p>
    <w:p w14:paraId="0B2356AE">
      <w:pPr>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由</w:t>
      </w:r>
      <w:r>
        <w:rPr>
          <w:rFonts w:hint="eastAsia" w:ascii="宋体" w:hAnsi="宋体" w:cs="宋体"/>
          <w:sz w:val="24"/>
          <w:szCs w:val="24"/>
          <w:highlight w:val="none"/>
          <w:lang w:eastAsia="zh-CN"/>
        </w:rPr>
        <w:t>需求方</w:t>
      </w:r>
      <w:r>
        <w:rPr>
          <w:rFonts w:hint="eastAsia" w:ascii="宋体" w:hAnsi="宋体" w:eastAsia="宋体" w:cs="宋体"/>
          <w:sz w:val="24"/>
          <w:szCs w:val="24"/>
          <w:highlight w:val="none"/>
        </w:rPr>
        <w:t>按照相关制度规定组建</w:t>
      </w:r>
      <w:r>
        <w:rPr>
          <w:rFonts w:hint="eastAsia" w:ascii="宋体" w:hAnsi="宋体" w:cs="宋体"/>
          <w:sz w:val="24"/>
          <w:szCs w:val="24"/>
          <w:highlight w:val="none"/>
          <w:lang w:eastAsia="zh-CN"/>
        </w:rPr>
        <w:t>评选小组</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评选小组</w:t>
      </w:r>
      <w:r>
        <w:rPr>
          <w:rFonts w:hint="eastAsia" w:ascii="宋体" w:hAnsi="宋体" w:eastAsia="宋体" w:cs="宋体"/>
          <w:sz w:val="24"/>
          <w:szCs w:val="24"/>
          <w:highlight w:val="none"/>
        </w:rPr>
        <w:t>本着公平、公正、科学的原则，依据评审标准开展项目评审和推荐评审结果</w:t>
      </w:r>
      <w:r>
        <w:rPr>
          <w:rFonts w:hint="eastAsia" w:ascii="宋体" w:hAnsi="宋体" w:cs="宋体"/>
          <w:sz w:val="24"/>
          <w:szCs w:val="24"/>
          <w:highlight w:val="none"/>
          <w:lang w:eastAsia="zh-CN"/>
        </w:rPr>
        <w:t>。</w:t>
      </w:r>
    </w:p>
    <w:p w14:paraId="097D6C2E">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评审标准</w:t>
      </w:r>
    </w:p>
    <w:p w14:paraId="283A58F8">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资格评审+技术商务评审+价格评审，共三个环节</w:t>
      </w:r>
      <w:r>
        <w:rPr>
          <w:rFonts w:hint="eastAsia" w:ascii="宋体" w:hAnsi="宋体" w:cs="宋体"/>
          <w:b w:val="0"/>
          <w:bCs w:val="0"/>
          <w:sz w:val="24"/>
          <w:szCs w:val="24"/>
          <w:highlight w:val="none"/>
          <w:lang w:val="en-US" w:eastAsia="zh-CN"/>
        </w:rPr>
        <w:t>，其中技术商务总分60分，价格总分40分</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技术商务评分标准如下：</w:t>
      </w:r>
    </w:p>
    <w:tbl>
      <w:tblPr>
        <w:tblStyle w:val="18"/>
        <w:tblW w:w="89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2113"/>
        <w:gridCol w:w="859"/>
        <w:gridCol w:w="5460"/>
      </w:tblGrid>
      <w:tr w14:paraId="2691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B5CA">
            <w:pPr>
              <w:pStyle w:val="24"/>
              <w:bidi w:val="0"/>
              <w:rPr>
                <w:rFonts w:hint="eastAsia"/>
              </w:rPr>
            </w:pPr>
            <w:r>
              <w:rPr>
                <w:rFonts w:hint="eastAsia"/>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75C1">
            <w:pPr>
              <w:pStyle w:val="24"/>
              <w:bidi w:val="0"/>
              <w:rPr>
                <w:rFonts w:hint="eastAsia"/>
              </w:rPr>
            </w:pPr>
            <w:r>
              <w:rPr>
                <w:rFonts w:hint="eastAsia"/>
                <w:lang w:val="en-US" w:eastAsia="zh-CN"/>
              </w:rPr>
              <w:t>评审内容</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2621">
            <w:pPr>
              <w:pStyle w:val="24"/>
              <w:bidi w:val="0"/>
              <w:rPr>
                <w:rFonts w:hint="eastAsia"/>
              </w:rPr>
            </w:pPr>
            <w:r>
              <w:rPr>
                <w:rFonts w:hint="eastAsia"/>
                <w:lang w:val="en-US" w:eastAsia="zh-CN"/>
              </w:rPr>
              <w:t>分值</w:t>
            </w:r>
          </w:p>
        </w:tc>
        <w:tc>
          <w:tcPr>
            <w:tcW w:w="5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74EA">
            <w:pPr>
              <w:pStyle w:val="24"/>
              <w:bidi w:val="0"/>
              <w:rPr>
                <w:rFonts w:hint="eastAsia"/>
              </w:rPr>
            </w:pPr>
            <w:r>
              <w:rPr>
                <w:rFonts w:hint="eastAsia"/>
                <w:lang w:val="en-US" w:eastAsia="zh-CN"/>
              </w:rPr>
              <w:t>评分标准</w:t>
            </w:r>
          </w:p>
        </w:tc>
      </w:tr>
      <w:tr w14:paraId="7A43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E69C">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rPr>
            </w:pPr>
            <w:r>
              <w:rPr>
                <w:rFonts w:hint="eastAsia"/>
                <w:lang w:val="en-US" w:eastAsia="zh-CN"/>
              </w:rPr>
              <w:t>1</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26DA">
            <w:pPr>
              <w:pStyle w:val="24"/>
              <w:bidi w:val="0"/>
              <w:rPr>
                <w:rFonts w:hint="eastAsia"/>
              </w:rPr>
            </w:pPr>
            <w:r>
              <w:rPr>
                <w:rFonts w:hint="eastAsia"/>
                <w:lang w:val="en-US" w:eastAsia="zh-CN"/>
              </w:rPr>
              <w:t>信用评价</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AC49">
            <w:pPr>
              <w:pStyle w:val="24"/>
              <w:bidi w:val="0"/>
              <w:rPr>
                <w:rFonts w:hint="eastAsia"/>
              </w:rPr>
            </w:pPr>
            <w:r>
              <w:rPr>
                <w:rFonts w:hint="eastAsia"/>
                <w:lang w:val="en-US" w:eastAsia="zh-CN"/>
              </w:rPr>
              <w:t>2</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996">
            <w:pPr>
              <w:pStyle w:val="24"/>
              <w:bidi w:val="0"/>
              <w:jc w:val="left"/>
              <w:rPr>
                <w:rFonts w:hint="eastAsia"/>
              </w:rPr>
            </w:pPr>
            <w:r>
              <w:rPr>
                <w:rFonts w:hint="eastAsia"/>
                <w:lang w:val="en-US" w:eastAsia="zh-CN"/>
              </w:rPr>
              <w:t>广东电力市场2025年信用评价结果，信用等级为AA的，得1分；信用等级为AAA的，得2分</w:t>
            </w:r>
          </w:p>
        </w:tc>
      </w:tr>
      <w:tr w14:paraId="217B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8DC2">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rPr>
            </w:pPr>
            <w:r>
              <w:rPr>
                <w:rFonts w:hint="eastAsia"/>
                <w:lang w:val="en-US" w:eastAsia="zh-CN"/>
              </w:rPr>
              <w:t>2</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ED69">
            <w:pPr>
              <w:pStyle w:val="24"/>
              <w:bidi w:val="0"/>
              <w:rPr>
                <w:rFonts w:hint="eastAsia"/>
              </w:rPr>
            </w:pPr>
            <w:r>
              <w:rPr>
                <w:rFonts w:hint="eastAsia"/>
                <w:lang w:val="en-US" w:eastAsia="zh-CN"/>
              </w:rPr>
              <w:t>发售电一体</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565E">
            <w:pPr>
              <w:pStyle w:val="24"/>
              <w:bidi w:val="0"/>
              <w:rPr>
                <w:rFonts w:hint="eastAsia"/>
              </w:rPr>
            </w:pPr>
            <w:r>
              <w:rPr>
                <w:rFonts w:hint="eastAsia"/>
                <w:lang w:val="en-US" w:eastAsia="zh-CN"/>
              </w:rPr>
              <w:t>2</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2E93">
            <w:pPr>
              <w:pStyle w:val="24"/>
              <w:bidi w:val="0"/>
              <w:jc w:val="left"/>
              <w:rPr>
                <w:rFonts w:hint="eastAsia"/>
              </w:rPr>
            </w:pPr>
            <w:r>
              <w:rPr>
                <w:rFonts w:hint="eastAsia"/>
                <w:lang w:val="en-US" w:eastAsia="zh-CN"/>
              </w:rPr>
              <w:t>根据广东电力交易中心发布的《关于2025年广东电力市场同一集团发电企业和售电公司关联关系公示的通知》，售电公司有关联发电企业的，得2分</w:t>
            </w:r>
          </w:p>
        </w:tc>
      </w:tr>
      <w:tr w14:paraId="24B5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2245">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rPr>
            </w:pPr>
            <w:r>
              <w:rPr>
                <w:rFonts w:hint="eastAsia"/>
                <w:lang w:val="en-US" w:eastAsia="zh-CN"/>
              </w:rPr>
              <w:t>3</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A2C0">
            <w:pPr>
              <w:pStyle w:val="24"/>
              <w:bidi w:val="0"/>
              <w:rPr>
                <w:rFonts w:hint="eastAsia"/>
              </w:rPr>
            </w:pPr>
            <w:r>
              <w:rPr>
                <w:rFonts w:hint="eastAsia"/>
                <w:lang w:val="en-US" w:eastAsia="zh-CN"/>
              </w:rPr>
              <w:t>2025年1-10月份代理零售电量</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80F5">
            <w:pPr>
              <w:pStyle w:val="24"/>
              <w:bidi w:val="0"/>
              <w:rPr>
                <w:rFonts w:hint="eastAsia"/>
              </w:rPr>
            </w:pPr>
            <w:r>
              <w:rPr>
                <w:rFonts w:hint="eastAsia"/>
                <w:lang w:val="en-US" w:eastAsia="zh-CN"/>
              </w:rPr>
              <w:t>1</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E16E">
            <w:pPr>
              <w:pStyle w:val="24"/>
              <w:bidi w:val="0"/>
              <w:jc w:val="left"/>
              <w:rPr>
                <w:rFonts w:hint="eastAsia"/>
              </w:rPr>
            </w:pPr>
            <w:r>
              <w:rPr>
                <w:rFonts w:hint="eastAsia"/>
                <w:lang w:val="en-US" w:eastAsia="zh-CN"/>
              </w:rPr>
              <w:t>成交电量20亿千瓦时及以上的，得1分</w:t>
            </w:r>
          </w:p>
        </w:tc>
      </w:tr>
      <w:tr w14:paraId="428D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2BB1">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rPr>
            </w:pPr>
            <w:r>
              <w:rPr>
                <w:rFonts w:hint="eastAsia"/>
                <w:lang w:val="en-US" w:eastAsia="zh-CN"/>
              </w:rPr>
              <w:t>4</w:t>
            </w:r>
          </w:p>
        </w:tc>
        <w:tc>
          <w:tcPr>
            <w:tcW w:w="2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3BE69">
            <w:pPr>
              <w:pStyle w:val="24"/>
              <w:bidi w:val="0"/>
              <w:rPr>
                <w:rFonts w:hint="eastAsia"/>
              </w:rPr>
            </w:pPr>
            <w:r>
              <w:rPr>
                <w:rFonts w:hint="eastAsia"/>
                <w:lang w:eastAsia="zh-CN"/>
              </w:rPr>
              <w:t>★增值服务：</w:t>
            </w:r>
            <w:r>
              <w:rPr>
                <w:rFonts w:hint="eastAsia"/>
                <w:lang w:val="en-US" w:eastAsia="zh-CN"/>
              </w:rPr>
              <w:t>屋顶光伏建设项目</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4614">
            <w:pPr>
              <w:pStyle w:val="24"/>
              <w:bidi w:val="0"/>
              <w:rPr>
                <w:rFonts w:hint="default"/>
                <w:lang w:val="en-US"/>
              </w:rPr>
            </w:pPr>
            <w:r>
              <w:rPr>
                <w:rFonts w:hint="eastAsia"/>
                <w:lang w:val="en-US" w:eastAsia="zh-CN"/>
              </w:rPr>
              <w:t>12</w:t>
            </w:r>
          </w:p>
        </w:tc>
        <w:tc>
          <w:tcPr>
            <w:tcW w:w="5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59FB2">
            <w:pPr>
              <w:pStyle w:val="24"/>
              <w:bidi w:val="0"/>
              <w:jc w:val="left"/>
              <w:rPr>
                <w:rFonts w:hint="eastAsia"/>
              </w:rPr>
            </w:pPr>
            <w:r>
              <w:rPr>
                <w:rFonts w:hint="eastAsia"/>
                <w:lang w:val="en-US" w:eastAsia="zh-CN"/>
              </w:rPr>
              <w:t>为需求方多个公交站场建设</w:t>
            </w:r>
            <w:r>
              <w:rPr>
                <w:rFonts w:hint="default"/>
                <w:lang w:val="en-US" w:eastAsia="zh-CN"/>
              </w:rPr>
              <w:t>至少一项</w:t>
            </w:r>
            <w:r>
              <w:rPr>
                <w:rFonts w:hint="eastAsia"/>
                <w:lang w:val="en-US" w:eastAsia="zh-CN"/>
              </w:rPr>
              <w:t>屋顶光伏项目，光伏项目建成后，</w:t>
            </w:r>
            <w:r>
              <w:rPr>
                <w:rFonts w:hint="default"/>
                <w:lang w:val="en-US" w:eastAsia="zh-CN"/>
              </w:rPr>
              <w:t>资产移交需求方，日常运营管理及全部运营收益由需求方负责和享有</w:t>
            </w:r>
            <w:r>
              <w:rPr>
                <w:rFonts w:hint="eastAsia"/>
                <w:lang w:val="en-US" w:eastAsia="zh-CN"/>
              </w:rPr>
              <w:t>。承担坦洲站场的，得8.5分，承担城南站场的，得3.5分。</w:t>
            </w:r>
          </w:p>
        </w:tc>
      </w:tr>
      <w:tr w14:paraId="1F96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B701">
            <w:pPr>
              <w:pStyle w:val="24"/>
              <w:keepNext w:val="0"/>
              <w:keepLines w:val="0"/>
              <w:pageBreakBefore w:val="0"/>
              <w:kinsoku/>
              <w:wordWrap/>
              <w:overflowPunct/>
              <w:topLinePunct w:val="0"/>
              <w:autoSpaceDE/>
              <w:autoSpaceDN/>
              <w:bidi w:val="0"/>
              <w:adjustRightInd/>
              <w:snapToGrid/>
              <w:rPr>
                <w:rFonts w:hint="eastAsia"/>
              </w:rPr>
            </w:pPr>
          </w:p>
        </w:tc>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C2B67">
            <w:pPr>
              <w:pStyle w:val="24"/>
              <w:bidi w:val="0"/>
              <w:rPr>
                <w:rFonts w:hint="eastAsia"/>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D1A3">
            <w:pPr>
              <w:pStyle w:val="24"/>
              <w:bidi w:val="0"/>
              <w:rPr>
                <w:rFonts w:hint="eastAsia"/>
              </w:rPr>
            </w:pPr>
          </w:p>
        </w:tc>
        <w:tc>
          <w:tcPr>
            <w:tcW w:w="5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EF2C">
            <w:pPr>
              <w:pStyle w:val="24"/>
              <w:bidi w:val="0"/>
              <w:jc w:val="left"/>
              <w:rPr>
                <w:rFonts w:hint="eastAsia"/>
              </w:rPr>
            </w:pPr>
          </w:p>
        </w:tc>
      </w:tr>
      <w:tr w14:paraId="2C1D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ABD6">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lang w:val="en-US" w:eastAsia="zh-CN"/>
              </w:rPr>
            </w:pPr>
            <w:r>
              <w:rPr>
                <w:rFonts w:hint="eastAsia"/>
                <w:lang w:val="en-US" w:eastAsia="zh-CN"/>
              </w:rPr>
              <w:t>5</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8289">
            <w:pPr>
              <w:pStyle w:val="24"/>
              <w:bidi w:val="0"/>
              <w:rPr>
                <w:rFonts w:hint="eastAsia"/>
                <w:lang w:eastAsia="zh-CN"/>
              </w:rPr>
            </w:pPr>
            <w:r>
              <w:rPr>
                <w:rFonts w:hint="eastAsia"/>
                <w:lang w:eastAsia="zh-CN"/>
              </w:rPr>
              <w:t>增值服务：充电站建设项目</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6D65">
            <w:pPr>
              <w:pStyle w:val="24"/>
              <w:bidi w:val="0"/>
              <w:rPr>
                <w:rFonts w:hint="default"/>
                <w:lang w:val="en-US" w:eastAsia="zh-CN"/>
              </w:rPr>
            </w:pPr>
            <w:r>
              <w:rPr>
                <w:rFonts w:hint="eastAsia"/>
                <w:lang w:val="en-US" w:eastAsia="zh-CN"/>
              </w:rPr>
              <w:t>40</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AE4B">
            <w:pPr>
              <w:pStyle w:val="24"/>
              <w:bidi w:val="0"/>
              <w:jc w:val="left"/>
              <w:rPr>
                <w:rFonts w:hint="eastAsia"/>
                <w:lang w:val="en-US" w:eastAsia="zh-CN"/>
              </w:rPr>
            </w:pPr>
            <w:r>
              <w:rPr>
                <w:rFonts w:hint="eastAsia"/>
                <w:lang w:val="en-US" w:eastAsia="zh-CN"/>
              </w:rPr>
              <w:t>为需求方公交站场（枢纽站）建设充电站，充电站建成后，资产移交需求方，日常运营管理及全部运营收益由需求方负责和享有。</w:t>
            </w:r>
          </w:p>
          <w:p w14:paraId="0767FA26">
            <w:pPr>
              <w:pStyle w:val="24"/>
              <w:bidi w:val="0"/>
              <w:jc w:val="left"/>
              <w:rPr>
                <w:rFonts w:hint="eastAsia"/>
                <w:lang w:val="en-US" w:eastAsia="zh-CN"/>
              </w:rPr>
            </w:pPr>
            <w:r>
              <w:rPr>
                <w:rFonts w:hint="eastAsia"/>
                <w:lang w:val="en-US" w:eastAsia="zh-CN"/>
              </w:rPr>
              <w:t>承担①的，得9分；</w:t>
            </w:r>
          </w:p>
          <w:p w14:paraId="792326FE">
            <w:pPr>
              <w:pStyle w:val="24"/>
              <w:bidi w:val="0"/>
              <w:jc w:val="left"/>
              <w:rPr>
                <w:rFonts w:hint="eastAsia"/>
                <w:lang w:val="en-US" w:eastAsia="zh-CN"/>
              </w:rPr>
            </w:pPr>
            <w:r>
              <w:rPr>
                <w:rFonts w:hint="eastAsia"/>
                <w:lang w:val="en-US" w:eastAsia="zh-CN"/>
              </w:rPr>
              <w:t>承担①+②的，得14.5分；</w:t>
            </w:r>
          </w:p>
          <w:p w14:paraId="343223EA">
            <w:pPr>
              <w:pStyle w:val="24"/>
              <w:bidi w:val="0"/>
              <w:jc w:val="left"/>
              <w:rPr>
                <w:rFonts w:hint="eastAsia"/>
                <w:lang w:val="en-US" w:eastAsia="zh-CN"/>
              </w:rPr>
            </w:pPr>
            <w:r>
              <w:rPr>
                <w:rFonts w:hint="eastAsia"/>
                <w:lang w:val="en-US" w:eastAsia="zh-CN"/>
              </w:rPr>
              <w:t>承担①+②+③的，得19.5分；</w:t>
            </w:r>
          </w:p>
          <w:p w14:paraId="7F2A1ACB">
            <w:pPr>
              <w:pStyle w:val="24"/>
              <w:bidi w:val="0"/>
              <w:jc w:val="left"/>
              <w:rPr>
                <w:rFonts w:hint="eastAsia"/>
                <w:lang w:val="en-US" w:eastAsia="zh-CN"/>
              </w:rPr>
            </w:pPr>
            <w:r>
              <w:rPr>
                <w:rFonts w:hint="eastAsia"/>
                <w:lang w:val="en-US" w:eastAsia="zh-CN"/>
              </w:rPr>
              <w:t>承担①+②+③+④的，得25分；</w:t>
            </w:r>
          </w:p>
          <w:p w14:paraId="331294E9">
            <w:pPr>
              <w:pStyle w:val="24"/>
              <w:bidi w:val="0"/>
              <w:jc w:val="left"/>
              <w:rPr>
                <w:rFonts w:hint="eastAsia"/>
                <w:lang w:val="en-US" w:eastAsia="zh-CN"/>
              </w:rPr>
            </w:pPr>
            <w:r>
              <w:rPr>
                <w:rFonts w:hint="eastAsia"/>
                <w:lang w:val="en-US" w:eastAsia="zh-CN"/>
              </w:rPr>
              <w:t>全承担的，得40分。</w:t>
            </w:r>
          </w:p>
          <w:p w14:paraId="535682DB">
            <w:pPr>
              <w:pStyle w:val="24"/>
              <w:bidi w:val="0"/>
              <w:jc w:val="left"/>
              <w:rPr>
                <w:rFonts w:hint="eastAsia"/>
                <w:lang w:val="en-US" w:eastAsia="zh-CN"/>
              </w:rPr>
            </w:pPr>
            <w:r>
              <w:rPr>
                <w:rFonts w:hint="eastAsia"/>
                <w:lang w:val="en-US" w:eastAsia="zh-CN"/>
              </w:rPr>
              <w:t>（须按照①至⑤逐级选取，不得跨级选择）</w:t>
            </w:r>
          </w:p>
        </w:tc>
      </w:tr>
      <w:tr w14:paraId="6959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8DE9">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rPr>
            </w:pPr>
            <w:r>
              <w:rPr>
                <w:rFonts w:hint="eastAsia"/>
                <w:lang w:val="en-US" w:eastAsia="zh-CN"/>
              </w:rPr>
              <w:t>6</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2FA5">
            <w:pPr>
              <w:pStyle w:val="24"/>
              <w:bidi w:val="0"/>
              <w:rPr>
                <w:rFonts w:hint="eastAsia"/>
              </w:rPr>
            </w:pPr>
            <w:r>
              <w:rPr>
                <w:rFonts w:hint="eastAsia"/>
                <w:lang w:eastAsia="zh-CN"/>
              </w:rPr>
              <w:t>增值服务：</w:t>
            </w:r>
            <w:r>
              <w:rPr>
                <w:rFonts w:hint="eastAsia"/>
                <w:lang w:val="en-US" w:eastAsia="zh-CN"/>
              </w:rPr>
              <w:t>储能技术服务费用</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57F1">
            <w:pPr>
              <w:pStyle w:val="24"/>
              <w:bidi w:val="0"/>
              <w:rPr>
                <w:rFonts w:hint="eastAsia"/>
              </w:rPr>
            </w:pPr>
            <w:r>
              <w:rPr>
                <w:rFonts w:hint="eastAsia"/>
                <w:lang w:val="en-US" w:eastAsia="zh-CN"/>
              </w:rPr>
              <w:t>3</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4B3A">
            <w:pPr>
              <w:pStyle w:val="24"/>
              <w:bidi w:val="0"/>
              <w:jc w:val="left"/>
              <w:rPr>
                <w:rFonts w:hint="eastAsia"/>
              </w:rPr>
            </w:pPr>
            <w:r>
              <w:rPr>
                <w:rFonts w:hint="eastAsia"/>
                <w:lang w:val="en-US" w:eastAsia="zh-CN"/>
              </w:rPr>
              <w:t>需求方与合作单位已投入运行的储能系统总容量为‌4.7兆瓦时，需求方每月向合作单位支付‌储能系统放电技术服务费用‌。‌中选人基于其运营状况和风险评估结果，自主确定承担该费用的若干额度。每承担10万元额度，得1分。（需求方、需求方合作单位、中选人签订三方协议，中选人代付相应额度，需求方合作单位开具收据给中选人）</w:t>
            </w:r>
          </w:p>
        </w:tc>
      </w:tr>
      <w:tr w14:paraId="2044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A003">
            <w:pPr>
              <w:pStyle w:val="24"/>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rPr>
            </w:pPr>
            <w:r>
              <w:rPr>
                <w:rFonts w:hint="eastAsia"/>
                <w:lang w:val="en-US" w:eastAsia="zh-CN"/>
              </w:rPr>
              <w:t>7</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2EC0">
            <w:pPr>
              <w:pStyle w:val="24"/>
              <w:bidi w:val="0"/>
              <w:rPr>
                <w:rFonts w:hint="eastAsia"/>
              </w:rPr>
            </w:pPr>
            <w:r>
              <w:rPr>
                <w:rFonts w:hint="eastAsia"/>
                <w:lang w:val="en-US" w:eastAsia="zh-CN"/>
              </w:rPr>
              <w:t>广东电力交易中心2025年发布披露投诉情况</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411A">
            <w:pPr>
              <w:pStyle w:val="24"/>
              <w:bidi w:val="0"/>
              <w:rPr>
                <w:rFonts w:hint="eastAsia"/>
              </w:rPr>
            </w:pPr>
            <w:r>
              <w:rPr>
                <w:rFonts w:hint="eastAsia"/>
                <w:lang w:val="en-US" w:eastAsia="zh-CN"/>
              </w:rPr>
              <w:t>每宗扣15分</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2DD9">
            <w:pPr>
              <w:pStyle w:val="24"/>
              <w:bidi w:val="0"/>
              <w:jc w:val="left"/>
              <w:rPr>
                <w:rFonts w:hint="eastAsia"/>
              </w:rPr>
            </w:pPr>
            <w:r>
              <w:rPr>
                <w:rFonts w:hint="eastAsia"/>
                <w:lang w:val="en-US" w:eastAsia="zh-CN"/>
              </w:rPr>
              <w:t>广东电力交易中心2025年发布披露投诉情况，售电公司被投诉的，每宗扣15分。</w:t>
            </w:r>
          </w:p>
        </w:tc>
      </w:tr>
    </w:tbl>
    <w:p w14:paraId="21F137E4">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Cs w:val="24"/>
          <w:highlight w:val="none"/>
          <w:lang w:eastAsia="zh-CN"/>
        </w:rPr>
      </w:pPr>
      <w:r>
        <w:rPr>
          <w:rFonts w:hint="eastAsia" w:ascii="宋体" w:hAnsi="宋体" w:cs="宋体"/>
          <w:b/>
          <w:bCs/>
          <w:szCs w:val="24"/>
          <w:highlight w:val="none"/>
          <w:lang w:eastAsia="zh-CN"/>
        </w:rPr>
        <w:t>评选结果</w:t>
      </w:r>
    </w:p>
    <w:p w14:paraId="7967C638">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（一）中选候选人推荐数量：3名。</w:t>
      </w:r>
    </w:p>
    <w:p w14:paraId="456533A1">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（二）中选候选人推荐规则：按综合得分从高到低排序，推荐前3名。</w:t>
      </w:r>
    </w:p>
    <w:p w14:paraId="6D8783BA">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（三）同分优先顺序：发售电一体资质、增值服务项评分</w:t>
      </w:r>
      <w:r>
        <w:rPr>
          <w:rFonts w:hint="eastAsia" w:ascii="宋体" w:hAnsi="宋体" w:cs="宋体"/>
          <w:b w:val="0"/>
          <w:bCs w:val="0"/>
          <w:sz w:val="24"/>
          <w:szCs w:val="24"/>
          <w:highlight w:val="none"/>
          <w:lang w:val="en-US" w:eastAsia="zh-CN"/>
        </w:rPr>
        <w:t>，仍相则</w:t>
      </w:r>
      <w:r>
        <w:rPr>
          <w:rFonts w:hint="eastAsia" w:ascii="宋体" w:hAnsi="宋体" w:cs="宋体"/>
          <w:b w:val="0"/>
          <w:bCs w:val="0"/>
          <w:sz w:val="24"/>
          <w:szCs w:val="24"/>
          <w:highlight w:val="none"/>
          <w:lang w:eastAsia="zh-CN"/>
        </w:rPr>
        <w:t>通过摇珠确定。</w:t>
      </w:r>
    </w:p>
    <w:p w14:paraId="57EB036C">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资格审查表</w:t>
      </w:r>
    </w:p>
    <w:p w14:paraId="23A52374">
      <w:pPr>
        <w:jc w:val="center"/>
        <w:outlineLvl w:val="9"/>
        <w:rPr>
          <w:rFonts w:hint="eastAsia" w:ascii="宋体" w:hAnsi="宋体"/>
          <w:b/>
          <w:spacing w:val="20"/>
          <w:sz w:val="32"/>
          <w:szCs w:val="32"/>
          <w:highlight w:val="none"/>
        </w:rPr>
      </w:pPr>
      <w:r>
        <w:rPr>
          <w:rFonts w:hint="eastAsia" w:ascii="宋体" w:hAnsi="宋体"/>
          <w:b/>
          <w:spacing w:val="20"/>
          <w:sz w:val="32"/>
          <w:szCs w:val="32"/>
          <w:highlight w:val="none"/>
        </w:rPr>
        <w:t>资格审查表</w:t>
      </w:r>
    </w:p>
    <w:p w14:paraId="191804AF">
      <w:pPr>
        <w:pStyle w:val="7"/>
        <w:rPr>
          <w:rFonts w:hint="default"/>
          <w:highlight w:val="none"/>
          <w:lang w:val="en-US"/>
        </w:rPr>
      </w:pPr>
      <w:r>
        <w:rPr>
          <w:rFonts w:hint="eastAsia" w:ascii="宋体" w:hAnsi="宋体" w:eastAsia="宋体" w:cs="宋体"/>
          <w:b/>
          <w:bCs/>
          <w:sz w:val="22"/>
          <w:szCs w:val="22"/>
          <w:highlight w:val="none"/>
          <w:lang w:val="en-US" w:eastAsia="zh-CN"/>
        </w:rPr>
        <w:t>项目名称：</w:t>
      </w:r>
      <w:r>
        <w:rPr>
          <w:rFonts w:hint="eastAsia" w:ascii="宋体" w:hAnsi="宋体" w:cs="宋体"/>
          <w:b/>
          <w:bCs/>
          <w:sz w:val="22"/>
          <w:szCs w:val="22"/>
          <w:highlight w:val="none"/>
          <w:lang w:val="en-US" w:eastAsia="zh-CN"/>
        </w:rPr>
        <w:t>中山公交2026年电力市场交易售电代理项目</w:t>
      </w:r>
    </w:p>
    <w:tbl>
      <w:tblPr>
        <w:tblStyle w:val="18"/>
        <w:tblW w:w="87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575"/>
        <w:gridCol w:w="699"/>
        <w:gridCol w:w="750"/>
        <w:gridCol w:w="769"/>
        <w:gridCol w:w="741"/>
        <w:gridCol w:w="750"/>
      </w:tblGrid>
      <w:tr w14:paraId="41BA8E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jc w:val="center"/>
        </w:trPr>
        <w:tc>
          <w:tcPr>
            <w:tcW w:w="433" w:type="dxa"/>
            <w:shd w:val="clear" w:color="auto" w:fill="E0E0E0"/>
            <w:noWrap w:val="0"/>
            <w:vAlign w:val="center"/>
          </w:tcPr>
          <w:p w14:paraId="71E81F3D">
            <w:pPr>
              <w:adjustRightInd w:val="0"/>
              <w:snapToGrid w:val="0"/>
              <w:spacing w:line="240" w:lineRule="auto"/>
              <w:ind w:firstLine="0" w:firstLineChars="0"/>
              <w:rPr>
                <w:rFonts w:ascii="宋体" w:hAnsi="宋体"/>
                <w:b/>
                <w:szCs w:val="21"/>
                <w:highlight w:val="none"/>
              </w:rPr>
            </w:pPr>
            <w:r>
              <w:rPr>
                <w:rFonts w:hint="eastAsia" w:ascii="宋体" w:hAnsi="宋体"/>
                <w:b/>
                <w:szCs w:val="21"/>
                <w:highlight w:val="none"/>
              </w:rPr>
              <w:t>序号</w:t>
            </w:r>
          </w:p>
        </w:tc>
        <w:tc>
          <w:tcPr>
            <w:tcW w:w="4575" w:type="dxa"/>
            <w:shd w:val="clear" w:color="auto" w:fill="E0E0E0"/>
            <w:noWrap w:val="0"/>
            <w:vAlign w:val="center"/>
          </w:tcPr>
          <w:p w14:paraId="4BCBFF4F">
            <w:pPr>
              <w:adjustRightInd w:val="0"/>
              <w:snapToGrid w:val="0"/>
              <w:spacing w:line="240" w:lineRule="auto"/>
              <w:ind w:firstLine="0" w:firstLineChars="0"/>
              <w:jc w:val="center"/>
              <w:rPr>
                <w:rFonts w:ascii="宋体" w:hAnsi="宋体"/>
                <w:b/>
                <w:spacing w:val="-20"/>
                <w:szCs w:val="21"/>
                <w:highlight w:val="none"/>
                <w:u w:val="single"/>
              </w:rPr>
            </w:pPr>
            <w:r>
              <w:rPr>
                <w:rFonts w:hint="eastAsia" w:ascii="宋体" w:hAnsi="宋体"/>
                <w:b/>
                <w:szCs w:val="21"/>
                <w:highlight w:val="none"/>
              </w:rPr>
              <w:t>审查内容</w:t>
            </w:r>
          </w:p>
        </w:tc>
        <w:tc>
          <w:tcPr>
            <w:tcW w:w="699" w:type="dxa"/>
            <w:shd w:val="clear" w:color="auto" w:fill="E0E0E0"/>
            <w:noWrap w:val="0"/>
            <w:vAlign w:val="center"/>
          </w:tcPr>
          <w:p w14:paraId="2469AD6E">
            <w:pPr>
              <w:adjustRightInd w:val="0"/>
              <w:snapToGrid w:val="0"/>
              <w:spacing w:line="240" w:lineRule="auto"/>
              <w:ind w:firstLine="0" w:firstLineChars="0"/>
              <w:jc w:val="center"/>
              <w:rPr>
                <w:rFonts w:hint="default" w:ascii="宋体" w:hAnsi="宋体" w:cs="宋体"/>
                <w:b w:val="0"/>
                <w:color w:val="auto"/>
                <w:sz w:val="24"/>
                <w:szCs w:val="24"/>
                <w:highlight w:val="none"/>
                <w:lang w:val="en-US"/>
              </w:rPr>
            </w:pPr>
            <w:r>
              <w:rPr>
                <w:rFonts w:hint="eastAsia" w:ascii="宋体" w:hAnsi="宋体" w:cs="宋体"/>
                <w:b/>
                <w:bCs/>
                <w:color w:val="000000" w:themeColor="text1"/>
                <w:sz w:val="24"/>
                <w:szCs w:val="24"/>
                <w:lang w:val="en-US" w:eastAsia="zh-CN"/>
                <w14:textFill>
                  <w14:solidFill>
                    <w14:schemeClr w14:val="tx1"/>
                  </w14:solidFill>
                </w14:textFill>
              </w:rPr>
              <w:t>参评单位A</w:t>
            </w:r>
          </w:p>
        </w:tc>
        <w:tc>
          <w:tcPr>
            <w:tcW w:w="750" w:type="dxa"/>
            <w:shd w:val="clear" w:color="auto" w:fill="E0E0E0"/>
            <w:noWrap w:val="0"/>
            <w:vAlign w:val="center"/>
          </w:tcPr>
          <w:p w14:paraId="4A608655">
            <w:pPr>
              <w:adjustRightInd w:val="0"/>
              <w:snapToGrid w:val="0"/>
              <w:spacing w:line="240" w:lineRule="auto"/>
              <w:ind w:firstLine="0" w:firstLineChars="0"/>
              <w:jc w:val="center"/>
              <w:rPr>
                <w:rFonts w:hint="default" w:ascii="宋体" w:hAnsi="宋体" w:cs="宋体"/>
                <w:b w:val="0"/>
                <w:color w:val="auto"/>
                <w:sz w:val="24"/>
                <w:szCs w:val="24"/>
                <w:highlight w:val="none"/>
                <w:lang w:val="en-US"/>
              </w:rPr>
            </w:pPr>
            <w:r>
              <w:rPr>
                <w:rFonts w:hint="eastAsia" w:ascii="宋体" w:hAnsi="宋体" w:cs="宋体"/>
                <w:b/>
                <w:bCs/>
                <w:color w:val="000000" w:themeColor="text1"/>
                <w:sz w:val="24"/>
                <w:szCs w:val="24"/>
                <w:lang w:val="en-US" w:eastAsia="zh-CN"/>
                <w14:textFill>
                  <w14:solidFill>
                    <w14:schemeClr w14:val="tx1"/>
                  </w14:solidFill>
                </w14:textFill>
              </w:rPr>
              <w:t>参评单位B</w:t>
            </w:r>
          </w:p>
        </w:tc>
        <w:tc>
          <w:tcPr>
            <w:tcW w:w="769" w:type="dxa"/>
            <w:shd w:val="clear" w:color="auto" w:fill="E0E0E0"/>
            <w:noWrap w:val="0"/>
            <w:vAlign w:val="center"/>
          </w:tcPr>
          <w:p w14:paraId="1A2CEFEC">
            <w:pPr>
              <w:adjustRightInd w:val="0"/>
              <w:snapToGrid w:val="0"/>
              <w:spacing w:line="240" w:lineRule="auto"/>
              <w:ind w:firstLine="0" w:firstLineChars="0"/>
              <w:jc w:val="center"/>
              <w:rPr>
                <w:rFonts w:hint="default" w:ascii="宋体" w:hAnsi="宋体" w:cs="宋体"/>
                <w:b w:val="0"/>
                <w:color w:val="auto"/>
                <w:sz w:val="24"/>
                <w:szCs w:val="24"/>
                <w:highlight w:val="none"/>
                <w:lang w:val="en-US"/>
              </w:rPr>
            </w:pPr>
            <w:r>
              <w:rPr>
                <w:rFonts w:hint="eastAsia" w:ascii="宋体" w:hAnsi="宋体" w:cs="宋体"/>
                <w:b/>
                <w:bCs/>
                <w:color w:val="000000" w:themeColor="text1"/>
                <w:sz w:val="24"/>
                <w:szCs w:val="24"/>
                <w:lang w:val="en-US" w:eastAsia="zh-CN"/>
                <w14:textFill>
                  <w14:solidFill>
                    <w14:schemeClr w14:val="tx1"/>
                  </w14:solidFill>
                </w14:textFill>
              </w:rPr>
              <w:t>参评单位C</w:t>
            </w:r>
          </w:p>
        </w:tc>
        <w:tc>
          <w:tcPr>
            <w:tcW w:w="741" w:type="dxa"/>
            <w:shd w:val="clear" w:color="auto" w:fill="E0E0E0"/>
            <w:noWrap w:val="0"/>
            <w:vAlign w:val="center"/>
          </w:tcPr>
          <w:p w14:paraId="0731C02D">
            <w:pPr>
              <w:adjustRightInd w:val="0"/>
              <w:snapToGrid w:val="0"/>
              <w:spacing w:line="240" w:lineRule="auto"/>
              <w:ind w:firstLine="0" w:firstLineChars="0"/>
              <w:jc w:val="center"/>
              <w:rPr>
                <w:rFonts w:hint="default" w:ascii="宋体" w:hAnsi="宋体" w:eastAsia="宋体" w:cs="宋体"/>
                <w:color w:val="auto"/>
                <w:kern w:val="2"/>
                <w:sz w:val="24"/>
                <w:szCs w:val="24"/>
                <w:highlight w:val="none"/>
                <w:lang w:val="en-US" w:eastAsia="zh-CN"/>
              </w:rPr>
            </w:pPr>
            <w:r>
              <w:rPr>
                <w:rFonts w:hint="eastAsia" w:ascii="宋体" w:hAnsi="宋体" w:cs="宋体"/>
                <w:b/>
                <w:bCs/>
                <w:color w:val="000000" w:themeColor="text1"/>
                <w:sz w:val="24"/>
                <w:szCs w:val="24"/>
                <w:lang w:val="en-US" w:eastAsia="zh-CN"/>
                <w14:textFill>
                  <w14:solidFill>
                    <w14:schemeClr w14:val="tx1"/>
                  </w14:solidFill>
                </w14:textFill>
              </w:rPr>
              <w:t>参评单位D</w:t>
            </w:r>
          </w:p>
        </w:tc>
        <w:tc>
          <w:tcPr>
            <w:tcW w:w="750" w:type="dxa"/>
            <w:shd w:val="clear" w:color="auto" w:fill="E0E0E0"/>
            <w:noWrap w:val="0"/>
            <w:vAlign w:val="center"/>
          </w:tcPr>
          <w:p w14:paraId="43878FA4">
            <w:pPr>
              <w:adjustRightInd w:val="0"/>
              <w:snapToGrid w:val="0"/>
              <w:spacing w:line="24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w:t>
            </w:r>
          </w:p>
        </w:tc>
      </w:tr>
      <w:tr w14:paraId="3403A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noWrap w:val="0"/>
            <w:vAlign w:val="center"/>
          </w:tcPr>
          <w:p w14:paraId="37B7EFFB">
            <w:pPr>
              <w:adjustRightInd w:val="0"/>
              <w:snapToGrid w:val="0"/>
              <w:spacing w:line="240" w:lineRule="auto"/>
              <w:ind w:firstLine="0" w:firstLineChars="0"/>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c>
          <w:tcPr>
            <w:tcW w:w="4575" w:type="dxa"/>
            <w:noWrap w:val="0"/>
            <w:vAlign w:val="center"/>
          </w:tcPr>
          <w:p w14:paraId="6473F89A">
            <w:pPr>
              <w:adjustRightInd w:val="0"/>
              <w:snapToGrid w:val="0"/>
              <w:spacing w:line="240" w:lineRule="auto"/>
              <w:ind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评选文件资料</w:t>
            </w:r>
            <w:r>
              <w:rPr>
                <w:rFonts w:hint="eastAsia" w:ascii="宋体" w:hAnsi="宋体" w:cs="宋体"/>
                <w:color w:val="auto"/>
                <w:sz w:val="24"/>
                <w:szCs w:val="24"/>
                <w:highlight w:val="none"/>
                <w:lang w:val="en-US" w:eastAsia="zh-CN"/>
              </w:rPr>
              <w:t>必须密封</w:t>
            </w:r>
            <w:r>
              <w:rPr>
                <w:rFonts w:hint="eastAsia" w:ascii="宋体" w:hAnsi="宋体" w:eastAsia="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按要求签</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lang w:eastAsia="zh-CN"/>
              </w:rPr>
              <w:t>。</w:t>
            </w:r>
          </w:p>
        </w:tc>
        <w:tc>
          <w:tcPr>
            <w:tcW w:w="699" w:type="dxa"/>
            <w:noWrap w:val="0"/>
            <w:vAlign w:val="top"/>
          </w:tcPr>
          <w:p w14:paraId="7B9F83DD">
            <w:pPr>
              <w:adjustRightInd w:val="0"/>
              <w:snapToGrid w:val="0"/>
              <w:spacing w:line="240" w:lineRule="auto"/>
              <w:ind w:firstLine="0" w:firstLineChars="0"/>
              <w:rPr>
                <w:rFonts w:ascii="宋体" w:hAnsi="宋体"/>
                <w:szCs w:val="21"/>
                <w:highlight w:val="none"/>
              </w:rPr>
            </w:pPr>
          </w:p>
        </w:tc>
        <w:tc>
          <w:tcPr>
            <w:tcW w:w="750" w:type="dxa"/>
            <w:noWrap w:val="0"/>
            <w:vAlign w:val="top"/>
          </w:tcPr>
          <w:p w14:paraId="17041F34">
            <w:pPr>
              <w:adjustRightInd w:val="0"/>
              <w:snapToGrid w:val="0"/>
              <w:spacing w:line="240" w:lineRule="auto"/>
              <w:ind w:firstLine="0" w:firstLineChars="0"/>
              <w:rPr>
                <w:rFonts w:ascii="宋体" w:hAnsi="宋体"/>
                <w:szCs w:val="21"/>
                <w:highlight w:val="none"/>
              </w:rPr>
            </w:pPr>
          </w:p>
        </w:tc>
        <w:tc>
          <w:tcPr>
            <w:tcW w:w="769" w:type="dxa"/>
            <w:noWrap w:val="0"/>
            <w:vAlign w:val="top"/>
          </w:tcPr>
          <w:p w14:paraId="7BDAC5E5">
            <w:pPr>
              <w:adjustRightInd w:val="0"/>
              <w:snapToGrid w:val="0"/>
              <w:spacing w:line="240" w:lineRule="auto"/>
              <w:ind w:firstLine="0" w:firstLineChars="0"/>
              <w:rPr>
                <w:rFonts w:ascii="宋体" w:hAnsi="宋体"/>
                <w:szCs w:val="21"/>
                <w:highlight w:val="none"/>
              </w:rPr>
            </w:pPr>
          </w:p>
        </w:tc>
        <w:tc>
          <w:tcPr>
            <w:tcW w:w="741" w:type="dxa"/>
            <w:noWrap w:val="0"/>
            <w:vAlign w:val="top"/>
          </w:tcPr>
          <w:p w14:paraId="4B25DB06">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8136F94">
            <w:pPr>
              <w:adjustRightInd w:val="0"/>
              <w:snapToGrid w:val="0"/>
              <w:spacing w:line="240" w:lineRule="auto"/>
              <w:ind w:firstLine="0" w:firstLineChars="0"/>
              <w:rPr>
                <w:rFonts w:ascii="宋体" w:hAnsi="宋体"/>
                <w:szCs w:val="21"/>
                <w:highlight w:val="none"/>
              </w:rPr>
            </w:pPr>
          </w:p>
        </w:tc>
      </w:tr>
      <w:tr w14:paraId="51BFD4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noWrap w:val="0"/>
            <w:vAlign w:val="center"/>
          </w:tcPr>
          <w:p w14:paraId="25FB0919">
            <w:pPr>
              <w:adjustRightInd w:val="0"/>
              <w:snapToGrid w:val="0"/>
              <w:spacing w:line="240" w:lineRule="auto"/>
              <w:ind w:firstLine="0" w:firstLineChars="0"/>
              <w:jc w:val="center"/>
              <w:rPr>
                <w:rFonts w:hint="eastAsia" w:ascii="宋体" w:hAnsi="宋体" w:eastAsia="宋体"/>
                <w:szCs w:val="21"/>
                <w:highlight w:val="none"/>
                <w:lang w:eastAsia="zh-CN"/>
              </w:rPr>
            </w:pPr>
            <w:r>
              <w:rPr>
                <w:rFonts w:hint="eastAsia" w:ascii="宋体" w:hAnsi="宋体"/>
                <w:szCs w:val="21"/>
                <w:highlight w:val="none"/>
                <w:lang w:val="en-US" w:eastAsia="zh-CN"/>
              </w:rPr>
              <w:t>2</w:t>
            </w:r>
          </w:p>
        </w:tc>
        <w:tc>
          <w:tcPr>
            <w:tcW w:w="4575" w:type="dxa"/>
            <w:noWrap w:val="0"/>
            <w:vAlign w:val="center"/>
          </w:tcPr>
          <w:p w14:paraId="26732BBE">
            <w:pPr>
              <w:adjustRightInd w:val="0"/>
              <w:snapToGrid w:val="0"/>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依法在中华人民共和国境内注册，具备有效的营业执照或事业单位法人证书。</w:t>
            </w:r>
          </w:p>
        </w:tc>
        <w:tc>
          <w:tcPr>
            <w:tcW w:w="699" w:type="dxa"/>
            <w:noWrap w:val="0"/>
            <w:vAlign w:val="top"/>
          </w:tcPr>
          <w:p w14:paraId="717642F1">
            <w:pPr>
              <w:adjustRightInd w:val="0"/>
              <w:snapToGrid w:val="0"/>
              <w:spacing w:line="240" w:lineRule="auto"/>
              <w:ind w:firstLine="0" w:firstLineChars="0"/>
              <w:rPr>
                <w:rFonts w:ascii="宋体" w:hAnsi="宋体"/>
                <w:szCs w:val="21"/>
                <w:highlight w:val="none"/>
              </w:rPr>
            </w:pPr>
          </w:p>
        </w:tc>
        <w:tc>
          <w:tcPr>
            <w:tcW w:w="750" w:type="dxa"/>
            <w:noWrap w:val="0"/>
            <w:vAlign w:val="top"/>
          </w:tcPr>
          <w:p w14:paraId="3B6FE579">
            <w:pPr>
              <w:adjustRightInd w:val="0"/>
              <w:snapToGrid w:val="0"/>
              <w:spacing w:line="240" w:lineRule="auto"/>
              <w:ind w:firstLine="0" w:firstLineChars="0"/>
              <w:rPr>
                <w:rFonts w:ascii="宋体" w:hAnsi="宋体"/>
                <w:szCs w:val="21"/>
                <w:highlight w:val="none"/>
              </w:rPr>
            </w:pPr>
          </w:p>
        </w:tc>
        <w:tc>
          <w:tcPr>
            <w:tcW w:w="769" w:type="dxa"/>
            <w:noWrap w:val="0"/>
            <w:vAlign w:val="top"/>
          </w:tcPr>
          <w:p w14:paraId="735756E4">
            <w:pPr>
              <w:adjustRightInd w:val="0"/>
              <w:snapToGrid w:val="0"/>
              <w:spacing w:line="240" w:lineRule="auto"/>
              <w:ind w:firstLine="0" w:firstLineChars="0"/>
              <w:rPr>
                <w:rFonts w:ascii="宋体" w:hAnsi="宋体"/>
                <w:szCs w:val="21"/>
                <w:highlight w:val="none"/>
              </w:rPr>
            </w:pPr>
          </w:p>
        </w:tc>
        <w:tc>
          <w:tcPr>
            <w:tcW w:w="741" w:type="dxa"/>
            <w:noWrap w:val="0"/>
            <w:vAlign w:val="top"/>
          </w:tcPr>
          <w:p w14:paraId="4B9D46B4">
            <w:pPr>
              <w:adjustRightInd w:val="0"/>
              <w:snapToGrid w:val="0"/>
              <w:spacing w:line="240" w:lineRule="auto"/>
              <w:ind w:firstLine="0" w:firstLineChars="0"/>
              <w:rPr>
                <w:rFonts w:ascii="宋体" w:hAnsi="宋体"/>
                <w:szCs w:val="21"/>
                <w:highlight w:val="none"/>
              </w:rPr>
            </w:pPr>
          </w:p>
        </w:tc>
        <w:tc>
          <w:tcPr>
            <w:tcW w:w="750" w:type="dxa"/>
            <w:noWrap w:val="0"/>
            <w:vAlign w:val="top"/>
          </w:tcPr>
          <w:p w14:paraId="3809B820">
            <w:pPr>
              <w:adjustRightInd w:val="0"/>
              <w:snapToGrid w:val="0"/>
              <w:spacing w:line="240" w:lineRule="auto"/>
              <w:ind w:firstLine="0" w:firstLineChars="0"/>
              <w:rPr>
                <w:rFonts w:ascii="宋体" w:hAnsi="宋体"/>
                <w:szCs w:val="21"/>
                <w:highlight w:val="none"/>
              </w:rPr>
            </w:pPr>
          </w:p>
        </w:tc>
      </w:tr>
      <w:tr w14:paraId="2E2E5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433" w:type="dxa"/>
            <w:noWrap w:val="0"/>
            <w:vAlign w:val="center"/>
          </w:tcPr>
          <w:p w14:paraId="162C61FF">
            <w:pPr>
              <w:adjustRightInd w:val="0"/>
              <w:snapToGrid w:val="0"/>
              <w:spacing w:line="240" w:lineRule="auto"/>
              <w:ind w:firstLine="0" w:firstLineChars="0"/>
              <w:jc w:val="center"/>
              <w:rPr>
                <w:rFonts w:hint="eastAsia" w:ascii="宋体" w:hAnsi="宋体"/>
                <w:szCs w:val="21"/>
                <w:highlight w:val="none"/>
              </w:rPr>
            </w:pPr>
            <w:r>
              <w:rPr>
                <w:rFonts w:hint="eastAsia" w:ascii="宋体" w:hAnsi="宋体"/>
                <w:szCs w:val="21"/>
                <w:highlight w:val="none"/>
              </w:rPr>
              <w:t>3</w:t>
            </w:r>
          </w:p>
        </w:tc>
        <w:tc>
          <w:tcPr>
            <w:tcW w:w="4575" w:type="dxa"/>
            <w:noWrap w:val="0"/>
            <w:vAlign w:val="center"/>
          </w:tcPr>
          <w:p w14:paraId="363D70C9">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bidi="ar"/>
              </w:rPr>
              <w:t>未被列入“信用中国”网站（www.creditchina.gov.cn）“失信被执行人或重大税收违法失信主体”记录名单。</w:t>
            </w:r>
          </w:p>
        </w:tc>
        <w:tc>
          <w:tcPr>
            <w:tcW w:w="699" w:type="dxa"/>
            <w:noWrap w:val="0"/>
            <w:vAlign w:val="top"/>
          </w:tcPr>
          <w:p w14:paraId="00BBE4B5">
            <w:pPr>
              <w:adjustRightInd w:val="0"/>
              <w:snapToGrid w:val="0"/>
              <w:spacing w:line="240" w:lineRule="auto"/>
              <w:ind w:firstLine="0" w:firstLineChars="0"/>
              <w:rPr>
                <w:rFonts w:ascii="宋体" w:hAnsi="宋体"/>
                <w:szCs w:val="21"/>
                <w:highlight w:val="none"/>
              </w:rPr>
            </w:pPr>
          </w:p>
        </w:tc>
        <w:tc>
          <w:tcPr>
            <w:tcW w:w="750" w:type="dxa"/>
            <w:noWrap w:val="0"/>
            <w:vAlign w:val="top"/>
          </w:tcPr>
          <w:p w14:paraId="254F7133">
            <w:pPr>
              <w:adjustRightInd w:val="0"/>
              <w:snapToGrid w:val="0"/>
              <w:spacing w:line="240" w:lineRule="auto"/>
              <w:ind w:firstLine="0" w:firstLineChars="0"/>
              <w:rPr>
                <w:rFonts w:ascii="宋体" w:hAnsi="宋体"/>
                <w:szCs w:val="21"/>
                <w:highlight w:val="none"/>
              </w:rPr>
            </w:pPr>
          </w:p>
        </w:tc>
        <w:tc>
          <w:tcPr>
            <w:tcW w:w="769" w:type="dxa"/>
            <w:noWrap w:val="0"/>
            <w:vAlign w:val="top"/>
          </w:tcPr>
          <w:p w14:paraId="546B798D">
            <w:pPr>
              <w:adjustRightInd w:val="0"/>
              <w:snapToGrid w:val="0"/>
              <w:spacing w:line="240" w:lineRule="auto"/>
              <w:ind w:firstLine="0" w:firstLineChars="0"/>
              <w:rPr>
                <w:rFonts w:ascii="宋体" w:hAnsi="宋体"/>
                <w:szCs w:val="21"/>
                <w:highlight w:val="none"/>
              </w:rPr>
            </w:pPr>
          </w:p>
        </w:tc>
        <w:tc>
          <w:tcPr>
            <w:tcW w:w="741" w:type="dxa"/>
            <w:noWrap w:val="0"/>
            <w:vAlign w:val="top"/>
          </w:tcPr>
          <w:p w14:paraId="683D15DA">
            <w:pPr>
              <w:adjustRightInd w:val="0"/>
              <w:snapToGrid w:val="0"/>
              <w:spacing w:line="240" w:lineRule="auto"/>
              <w:ind w:firstLine="0" w:firstLineChars="0"/>
              <w:rPr>
                <w:rFonts w:ascii="宋体" w:hAnsi="宋体"/>
                <w:szCs w:val="21"/>
                <w:highlight w:val="none"/>
              </w:rPr>
            </w:pPr>
          </w:p>
        </w:tc>
        <w:tc>
          <w:tcPr>
            <w:tcW w:w="750" w:type="dxa"/>
            <w:noWrap w:val="0"/>
            <w:vAlign w:val="top"/>
          </w:tcPr>
          <w:p w14:paraId="309E8452">
            <w:pPr>
              <w:adjustRightInd w:val="0"/>
              <w:snapToGrid w:val="0"/>
              <w:spacing w:line="240" w:lineRule="auto"/>
              <w:ind w:firstLine="0" w:firstLineChars="0"/>
              <w:rPr>
                <w:rFonts w:ascii="宋体" w:hAnsi="宋体"/>
                <w:szCs w:val="21"/>
                <w:highlight w:val="none"/>
              </w:rPr>
            </w:pPr>
          </w:p>
        </w:tc>
      </w:tr>
      <w:tr w14:paraId="3177E2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3" w:type="dxa"/>
            <w:noWrap w:val="0"/>
            <w:vAlign w:val="center"/>
          </w:tcPr>
          <w:p w14:paraId="3C1AE4DD">
            <w:pPr>
              <w:adjustRightInd w:val="0"/>
              <w:snapToGrid w:val="0"/>
              <w:spacing w:line="240" w:lineRule="auto"/>
              <w:ind w:firstLine="0" w:firstLineChars="0"/>
              <w:jc w:val="center"/>
              <w:rPr>
                <w:rFonts w:hint="eastAsia" w:ascii="宋体" w:hAnsi="宋体" w:eastAsia="宋体"/>
                <w:szCs w:val="21"/>
                <w:highlight w:val="none"/>
                <w:lang w:eastAsia="zh-CN"/>
              </w:rPr>
            </w:pPr>
            <w:r>
              <w:rPr>
                <w:rFonts w:hint="eastAsia" w:ascii="宋体" w:hAnsi="宋体"/>
                <w:szCs w:val="21"/>
                <w:highlight w:val="none"/>
                <w:lang w:val="en-US" w:eastAsia="zh-CN"/>
              </w:rPr>
              <w:t>4</w:t>
            </w:r>
          </w:p>
        </w:tc>
        <w:tc>
          <w:tcPr>
            <w:tcW w:w="4575" w:type="dxa"/>
            <w:noWrap w:val="0"/>
            <w:vAlign w:val="center"/>
          </w:tcPr>
          <w:p w14:paraId="5BFFEB86">
            <w:pPr>
              <w:adjustRightInd w:val="0"/>
              <w:snapToGrid w:val="0"/>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有效的授权委托书（</w:t>
            </w:r>
            <w:r>
              <w:rPr>
                <w:rFonts w:hint="eastAsia" w:ascii="宋体" w:hAnsi="宋体" w:cs="宋体"/>
                <w:color w:val="auto"/>
                <w:sz w:val="24"/>
                <w:szCs w:val="24"/>
                <w:highlight w:val="none"/>
                <w:lang w:val="en-US" w:eastAsia="zh-CN"/>
              </w:rPr>
              <w:t>参评</w:t>
            </w:r>
            <w:r>
              <w:rPr>
                <w:rFonts w:hint="eastAsia" w:ascii="宋体" w:hAnsi="宋体" w:eastAsia="宋体" w:cs="宋体"/>
                <w:color w:val="auto"/>
                <w:sz w:val="24"/>
                <w:szCs w:val="24"/>
                <w:highlight w:val="none"/>
              </w:rPr>
              <w:t>代表为法定代表人时则不需要授权委托书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参评</w:t>
            </w:r>
            <w:r>
              <w:rPr>
                <w:rFonts w:hint="eastAsia" w:ascii="宋体" w:hAnsi="宋体" w:cs="宋体"/>
                <w:color w:val="auto"/>
                <w:sz w:val="24"/>
                <w:szCs w:val="24"/>
                <w:highlight w:val="none"/>
                <w:lang w:eastAsia="zh-CN"/>
              </w:rPr>
              <w:t>承诺书、</w:t>
            </w:r>
            <w:r>
              <w:rPr>
                <w:rFonts w:hint="eastAsia" w:ascii="宋体" w:hAnsi="宋体" w:cs="宋体"/>
                <w:b w:val="0"/>
                <w:bCs w:val="0"/>
                <w:color w:val="auto"/>
                <w:sz w:val="24"/>
                <w:szCs w:val="24"/>
                <w:highlight w:val="none"/>
                <w:lang w:val="en-US" w:eastAsia="zh-CN"/>
              </w:rPr>
              <w:t>参评单位代表</w:t>
            </w:r>
            <w:r>
              <w:rPr>
                <w:rFonts w:hint="eastAsia" w:ascii="宋体" w:hAnsi="宋体" w:eastAsia="宋体" w:cs="宋体"/>
                <w:color w:val="auto"/>
                <w:sz w:val="24"/>
                <w:highlight w:val="none"/>
              </w:rPr>
              <w:t>的社保证明</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月至今</w:t>
            </w:r>
            <w:r>
              <w:rPr>
                <w:rFonts w:hint="eastAsia" w:ascii="宋体" w:hAnsi="宋体" w:eastAsia="宋体" w:cs="宋体"/>
                <w:color w:val="auto"/>
                <w:sz w:val="24"/>
                <w:highlight w:val="none"/>
              </w:rPr>
              <w:t>任意</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复印件</w:t>
            </w:r>
            <w:r>
              <w:rPr>
                <w:rFonts w:hint="eastAsia" w:ascii="宋体" w:hAnsi="宋体" w:eastAsia="宋体" w:cs="宋体"/>
                <w:b w:val="0"/>
                <w:bCs w:val="0"/>
                <w:color w:val="auto"/>
                <w:sz w:val="24"/>
                <w:szCs w:val="24"/>
                <w:highlight w:val="none"/>
                <w:lang w:val="en-US" w:eastAsia="zh-CN"/>
              </w:rPr>
              <w:t>。如果该</w:t>
            </w:r>
            <w:r>
              <w:rPr>
                <w:rFonts w:hint="eastAsia" w:ascii="宋体" w:hAnsi="宋体" w:cs="宋体"/>
                <w:b w:val="0"/>
                <w:bCs w:val="0"/>
                <w:color w:val="auto"/>
                <w:sz w:val="24"/>
                <w:szCs w:val="24"/>
                <w:highlight w:val="none"/>
                <w:lang w:val="en-US" w:eastAsia="zh-CN"/>
              </w:rPr>
              <w:t>代表</w:t>
            </w:r>
            <w:r>
              <w:rPr>
                <w:rFonts w:hint="eastAsia" w:ascii="宋体" w:hAnsi="宋体" w:eastAsia="宋体" w:cs="宋体"/>
                <w:b w:val="0"/>
                <w:bCs w:val="0"/>
                <w:color w:val="auto"/>
                <w:sz w:val="24"/>
                <w:szCs w:val="24"/>
                <w:highlight w:val="none"/>
                <w:lang w:val="en-US" w:eastAsia="zh-CN"/>
              </w:rPr>
              <w:t>入职不足</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个月，则提供</w:t>
            </w:r>
            <w:r>
              <w:rPr>
                <w:rFonts w:hint="eastAsia" w:ascii="宋体" w:hAnsi="宋体" w:cs="宋体"/>
                <w:b w:val="0"/>
                <w:bCs w:val="0"/>
                <w:color w:val="auto"/>
                <w:sz w:val="24"/>
                <w:szCs w:val="24"/>
                <w:highlight w:val="none"/>
                <w:lang w:val="en-US" w:eastAsia="zh-CN"/>
              </w:rPr>
              <w:t>其劳动合同复印件</w:t>
            </w:r>
            <w:r>
              <w:rPr>
                <w:rFonts w:hint="eastAsia" w:ascii="宋体" w:hAnsi="宋体" w:eastAsia="宋体" w:cs="宋体"/>
                <w:color w:val="auto"/>
                <w:sz w:val="24"/>
                <w:szCs w:val="24"/>
                <w:highlight w:val="none"/>
              </w:rPr>
              <w:t>。</w:t>
            </w:r>
          </w:p>
        </w:tc>
        <w:tc>
          <w:tcPr>
            <w:tcW w:w="699" w:type="dxa"/>
            <w:noWrap w:val="0"/>
            <w:vAlign w:val="top"/>
          </w:tcPr>
          <w:p w14:paraId="16A4133A">
            <w:pPr>
              <w:adjustRightInd w:val="0"/>
              <w:snapToGrid w:val="0"/>
              <w:spacing w:line="240" w:lineRule="auto"/>
              <w:ind w:firstLine="0" w:firstLineChars="0"/>
              <w:rPr>
                <w:rFonts w:ascii="宋体" w:hAnsi="宋体"/>
                <w:szCs w:val="21"/>
                <w:highlight w:val="none"/>
              </w:rPr>
            </w:pPr>
          </w:p>
        </w:tc>
        <w:tc>
          <w:tcPr>
            <w:tcW w:w="750" w:type="dxa"/>
            <w:noWrap w:val="0"/>
            <w:vAlign w:val="top"/>
          </w:tcPr>
          <w:p w14:paraId="40B0289E">
            <w:pPr>
              <w:adjustRightInd w:val="0"/>
              <w:snapToGrid w:val="0"/>
              <w:spacing w:line="240" w:lineRule="auto"/>
              <w:ind w:firstLine="0" w:firstLineChars="0"/>
              <w:rPr>
                <w:rFonts w:ascii="宋体" w:hAnsi="宋体"/>
                <w:szCs w:val="21"/>
                <w:highlight w:val="none"/>
              </w:rPr>
            </w:pPr>
          </w:p>
        </w:tc>
        <w:tc>
          <w:tcPr>
            <w:tcW w:w="769" w:type="dxa"/>
            <w:noWrap w:val="0"/>
            <w:vAlign w:val="top"/>
          </w:tcPr>
          <w:p w14:paraId="321BA358">
            <w:pPr>
              <w:adjustRightInd w:val="0"/>
              <w:snapToGrid w:val="0"/>
              <w:spacing w:line="240" w:lineRule="auto"/>
              <w:ind w:firstLine="0" w:firstLineChars="0"/>
              <w:rPr>
                <w:rFonts w:ascii="宋体" w:hAnsi="宋体"/>
                <w:szCs w:val="21"/>
                <w:highlight w:val="none"/>
              </w:rPr>
            </w:pPr>
          </w:p>
        </w:tc>
        <w:tc>
          <w:tcPr>
            <w:tcW w:w="741" w:type="dxa"/>
            <w:noWrap w:val="0"/>
            <w:vAlign w:val="top"/>
          </w:tcPr>
          <w:p w14:paraId="2E8E3176">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CD83CDA">
            <w:pPr>
              <w:adjustRightInd w:val="0"/>
              <w:snapToGrid w:val="0"/>
              <w:spacing w:line="240" w:lineRule="auto"/>
              <w:ind w:firstLine="0" w:firstLineChars="0"/>
              <w:rPr>
                <w:rFonts w:ascii="宋体" w:hAnsi="宋体"/>
                <w:szCs w:val="21"/>
                <w:highlight w:val="none"/>
              </w:rPr>
            </w:pPr>
          </w:p>
        </w:tc>
      </w:tr>
      <w:tr w14:paraId="77C0BF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789363D2">
            <w:pPr>
              <w:adjustRightInd w:val="0"/>
              <w:snapToGrid w:val="0"/>
              <w:spacing w:line="240" w:lineRule="auto"/>
              <w:ind w:firstLine="0" w:firstLineChars="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5</w:t>
            </w:r>
          </w:p>
        </w:tc>
        <w:tc>
          <w:tcPr>
            <w:tcW w:w="4575" w:type="dxa"/>
            <w:shd w:val="clear" w:color="auto" w:fill="auto"/>
            <w:noWrap w:val="0"/>
            <w:vAlign w:val="center"/>
          </w:tcPr>
          <w:p w14:paraId="05C71EBA">
            <w:pPr>
              <w:adjustRightInd w:val="0"/>
              <w:snapToGrid w:val="0"/>
              <w:spacing w:line="24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参评</w:t>
            </w:r>
            <w:r>
              <w:rPr>
                <w:rFonts w:hint="eastAsia" w:ascii="宋体" w:hAnsi="宋体" w:cs="宋体"/>
                <w:color w:val="auto"/>
                <w:sz w:val="24"/>
                <w:szCs w:val="24"/>
                <w:highlight w:val="none"/>
                <w:lang w:val="en-US" w:eastAsia="zh-CN"/>
              </w:rPr>
              <w:t>单位为非</w:t>
            </w:r>
            <w:r>
              <w:rPr>
                <w:rFonts w:hint="eastAsia" w:ascii="宋体" w:hAnsi="宋体" w:eastAsia="宋体" w:cs="宋体"/>
                <w:color w:val="auto"/>
                <w:sz w:val="24"/>
                <w:szCs w:val="24"/>
                <w:highlight w:val="none"/>
              </w:rPr>
              <w:t>联合体</w:t>
            </w:r>
            <w:r>
              <w:rPr>
                <w:rFonts w:hint="eastAsia" w:ascii="宋体" w:hAnsi="宋体" w:cs="宋体"/>
                <w:color w:val="auto"/>
                <w:sz w:val="24"/>
                <w:szCs w:val="24"/>
                <w:highlight w:val="none"/>
                <w:lang w:eastAsia="zh-CN"/>
              </w:rPr>
              <w:t>参评，承诺不将本项目转包、分包，法定代表人为同一人的两个及两个以上法人，母公司、全资子公司及其控股公司，不同时参与本项目（</w:t>
            </w:r>
            <w:r>
              <w:rPr>
                <w:rFonts w:hint="eastAsia" w:ascii="宋体" w:hAnsi="宋体" w:cs="宋体"/>
                <w:b w:val="0"/>
                <w:bCs w:val="0"/>
                <w:color w:val="000000" w:themeColor="text1"/>
                <w:sz w:val="24"/>
                <w:szCs w:val="24"/>
                <w:lang w:val="en-US" w:eastAsia="zh-CN"/>
                <w14:textFill>
                  <w14:solidFill>
                    <w14:schemeClr w14:val="tx1"/>
                  </w14:solidFill>
                </w14:textFill>
              </w:rPr>
              <w:t>参评单位承诺书承诺</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w:t>
            </w:r>
          </w:p>
        </w:tc>
        <w:tc>
          <w:tcPr>
            <w:tcW w:w="699" w:type="dxa"/>
            <w:noWrap w:val="0"/>
            <w:vAlign w:val="top"/>
          </w:tcPr>
          <w:p w14:paraId="42954697">
            <w:pPr>
              <w:adjustRightInd w:val="0"/>
              <w:snapToGrid w:val="0"/>
              <w:spacing w:line="240" w:lineRule="auto"/>
              <w:ind w:firstLine="0" w:firstLineChars="0"/>
              <w:rPr>
                <w:rFonts w:ascii="宋体" w:hAnsi="宋体"/>
                <w:szCs w:val="21"/>
                <w:highlight w:val="none"/>
              </w:rPr>
            </w:pPr>
          </w:p>
        </w:tc>
        <w:tc>
          <w:tcPr>
            <w:tcW w:w="750" w:type="dxa"/>
            <w:noWrap w:val="0"/>
            <w:vAlign w:val="top"/>
          </w:tcPr>
          <w:p w14:paraId="3A4BDD29">
            <w:pPr>
              <w:adjustRightInd w:val="0"/>
              <w:snapToGrid w:val="0"/>
              <w:spacing w:line="240" w:lineRule="auto"/>
              <w:ind w:firstLine="0" w:firstLineChars="0"/>
              <w:rPr>
                <w:rFonts w:ascii="宋体" w:hAnsi="宋体"/>
                <w:szCs w:val="21"/>
                <w:highlight w:val="none"/>
              </w:rPr>
            </w:pPr>
          </w:p>
        </w:tc>
        <w:tc>
          <w:tcPr>
            <w:tcW w:w="769" w:type="dxa"/>
            <w:noWrap w:val="0"/>
            <w:vAlign w:val="top"/>
          </w:tcPr>
          <w:p w14:paraId="7F7CD213">
            <w:pPr>
              <w:adjustRightInd w:val="0"/>
              <w:snapToGrid w:val="0"/>
              <w:spacing w:line="240" w:lineRule="auto"/>
              <w:ind w:firstLine="0" w:firstLineChars="0"/>
              <w:rPr>
                <w:rFonts w:ascii="宋体" w:hAnsi="宋体"/>
                <w:szCs w:val="21"/>
                <w:highlight w:val="none"/>
              </w:rPr>
            </w:pPr>
          </w:p>
        </w:tc>
        <w:tc>
          <w:tcPr>
            <w:tcW w:w="741" w:type="dxa"/>
            <w:noWrap w:val="0"/>
            <w:vAlign w:val="top"/>
          </w:tcPr>
          <w:p w14:paraId="64DF9648">
            <w:pPr>
              <w:adjustRightInd w:val="0"/>
              <w:snapToGrid w:val="0"/>
              <w:spacing w:line="240" w:lineRule="auto"/>
              <w:ind w:firstLine="0" w:firstLineChars="0"/>
              <w:rPr>
                <w:rFonts w:ascii="宋体" w:hAnsi="宋体"/>
                <w:szCs w:val="21"/>
                <w:highlight w:val="none"/>
              </w:rPr>
            </w:pPr>
          </w:p>
        </w:tc>
        <w:tc>
          <w:tcPr>
            <w:tcW w:w="750" w:type="dxa"/>
            <w:noWrap w:val="0"/>
            <w:vAlign w:val="top"/>
          </w:tcPr>
          <w:p w14:paraId="517C668C">
            <w:pPr>
              <w:adjustRightInd w:val="0"/>
              <w:snapToGrid w:val="0"/>
              <w:spacing w:line="240" w:lineRule="auto"/>
              <w:ind w:firstLine="0" w:firstLineChars="0"/>
              <w:rPr>
                <w:rFonts w:ascii="宋体" w:hAnsi="宋体"/>
                <w:szCs w:val="21"/>
                <w:highlight w:val="none"/>
              </w:rPr>
            </w:pPr>
          </w:p>
        </w:tc>
      </w:tr>
      <w:tr w14:paraId="071D6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33" w:type="dxa"/>
            <w:shd w:val="clear" w:color="auto" w:fill="auto"/>
            <w:noWrap w:val="0"/>
            <w:vAlign w:val="center"/>
          </w:tcPr>
          <w:p w14:paraId="1643B375">
            <w:pPr>
              <w:adjustRightInd w:val="0"/>
              <w:snapToGrid w:val="0"/>
              <w:spacing w:line="240" w:lineRule="auto"/>
              <w:ind w:firstLine="0" w:firstLineChars="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6</w:t>
            </w:r>
          </w:p>
        </w:tc>
        <w:tc>
          <w:tcPr>
            <w:tcW w:w="4575" w:type="dxa"/>
            <w:noWrap w:val="0"/>
            <w:vAlign w:val="center"/>
          </w:tcPr>
          <w:p w14:paraId="0537FF54">
            <w:pPr>
              <w:adjustRightInd w:val="0"/>
              <w:snapToGrid w:val="0"/>
              <w:spacing w:line="240"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在广东电力交易中心发布的2025年广东电力市场信用评价中等级为A级或以上。</w:t>
            </w:r>
          </w:p>
        </w:tc>
        <w:tc>
          <w:tcPr>
            <w:tcW w:w="699" w:type="dxa"/>
            <w:noWrap w:val="0"/>
            <w:vAlign w:val="top"/>
          </w:tcPr>
          <w:p w14:paraId="0727E829">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6FA7660">
            <w:pPr>
              <w:adjustRightInd w:val="0"/>
              <w:snapToGrid w:val="0"/>
              <w:spacing w:line="240" w:lineRule="auto"/>
              <w:ind w:firstLine="0" w:firstLineChars="0"/>
              <w:rPr>
                <w:rFonts w:ascii="宋体" w:hAnsi="宋体"/>
                <w:szCs w:val="21"/>
                <w:highlight w:val="none"/>
              </w:rPr>
            </w:pPr>
          </w:p>
        </w:tc>
        <w:tc>
          <w:tcPr>
            <w:tcW w:w="769" w:type="dxa"/>
            <w:noWrap w:val="0"/>
            <w:vAlign w:val="top"/>
          </w:tcPr>
          <w:p w14:paraId="5D6F6EC7">
            <w:pPr>
              <w:adjustRightInd w:val="0"/>
              <w:snapToGrid w:val="0"/>
              <w:spacing w:line="240" w:lineRule="auto"/>
              <w:ind w:firstLine="0" w:firstLineChars="0"/>
              <w:rPr>
                <w:rFonts w:ascii="宋体" w:hAnsi="宋体"/>
                <w:szCs w:val="21"/>
                <w:highlight w:val="none"/>
              </w:rPr>
            </w:pPr>
          </w:p>
        </w:tc>
        <w:tc>
          <w:tcPr>
            <w:tcW w:w="741" w:type="dxa"/>
            <w:noWrap w:val="0"/>
            <w:vAlign w:val="top"/>
          </w:tcPr>
          <w:p w14:paraId="3E7AF09A">
            <w:pPr>
              <w:adjustRightInd w:val="0"/>
              <w:snapToGrid w:val="0"/>
              <w:spacing w:line="240" w:lineRule="auto"/>
              <w:ind w:firstLine="0" w:firstLineChars="0"/>
              <w:rPr>
                <w:rFonts w:ascii="宋体" w:hAnsi="宋体"/>
                <w:szCs w:val="21"/>
                <w:highlight w:val="none"/>
              </w:rPr>
            </w:pPr>
          </w:p>
        </w:tc>
        <w:tc>
          <w:tcPr>
            <w:tcW w:w="750" w:type="dxa"/>
            <w:noWrap w:val="0"/>
            <w:vAlign w:val="top"/>
          </w:tcPr>
          <w:p w14:paraId="24EF9041">
            <w:pPr>
              <w:adjustRightInd w:val="0"/>
              <w:snapToGrid w:val="0"/>
              <w:spacing w:line="240" w:lineRule="auto"/>
              <w:ind w:firstLine="0" w:firstLineChars="0"/>
              <w:rPr>
                <w:rFonts w:ascii="宋体" w:hAnsi="宋体"/>
                <w:szCs w:val="21"/>
                <w:highlight w:val="none"/>
              </w:rPr>
            </w:pPr>
          </w:p>
        </w:tc>
      </w:tr>
      <w:tr w14:paraId="1B9865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5ADB74A6">
            <w:pPr>
              <w:adjustRightInd w:val="0"/>
              <w:snapToGrid w:val="0"/>
              <w:spacing w:line="240" w:lineRule="auto"/>
              <w:ind w:firstLine="0" w:firstLineChars="0"/>
              <w:jc w:val="cente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7</w:t>
            </w:r>
          </w:p>
        </w:tc>
        <w:tc>
          <w:tcPr>
            <w:tcW w:w="4575" w:type="dxa"/>
            <w:shd w:val="clear" w:color="auto" w:fill="auto"/>
            <w:noWrap w:val="0"/>
            <w:vAlign w:val="center"/>
          </w:tcPr>
          <w:p w14:paraId="5A30CA46">
            <w:pPr>
              <w:adjustRightInd w:val="0"/>
              <w:snapToGrid w:val="0"/>
              <w:spacing w:line="24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售电公司电力交易履约担保凭证，初始信用额度合计不低于1600万元，有效期覆盖2026年1月1日至2027年3月31日。</w:t>
            </w:r>
          </w:p>
        </w:tc>
        <w:tc>
          <w:tcPr>
            <w:tcW w:w="699" w:type="dxa"/>
            <w:noWrap w:val="0"/>
            <w:vAlign w:val="top"/>
          </w:tcPr>
          <w:p w14:paraId="0B8C4215">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F9DD71A">
            <w:pPr>
              <w:adjustRightInd w:val="0"/>
              <w:snapToGrid w:val="0"/>
              <w:spacing w:line="240" w:lineRule="auto"/>
              <w:ind w:firstLine="0" w:firstLineChars="0"/>
              <w:rPr>
                <w:rFonts w:ascii="宋体" w:hAnsi="宋体"/>
                <w:szCs w:val="21"/>
                <w:highlight w:val="none"/>
              </w:rPr>
            </w:pPr>
          </w:p>
        </w:tc>
        <w:tc>
          <w:tcPr>
            <w:tcW w:w="769" w:type="dxa"/>
            <w:noWrap w:val="0"/>
            <w:vAlign w:val="top"/>
          </w:tcPr>
          <w:p w14:paraId="3CEB5C01">
            <w:pPr>
              <w:adjustRightInd w:val="0"/>
              <w:snapToGrid w:val="0"/>
              <w:spacing w:line="240" w:lineRule="auto"/>
              <w:ind w:firstLine="0" w:firstLineChars="0"/>
              <w:rPr>
                <w:rFonts w:ascii="宋体" w:hAnsi="宋体"/>
                <w:szCs w:val="21"/>
                <w:highlight w:val="none"/>
              </w:rPr>
            </w:pPr>
          </w:p>
        </w:tc>
        <w:tc>
          <w:tcPr>
            <w:tcW w:w="741" w:type="dxa"/>
            <w:noWrap w:val="0"/>
            <w:vAlign w:val="top"/>
          </w:tcPr>
          <w:p w14:paraId="3BE45F7A">
            <w:pPr>
              <w:adjustRightInd w:val="0"/>
              <w:snapToGrid w:val="0"/>
              <w:spacing w:line="240" w:lineRule="auto"/>
              <w:ind w:firstLine="0" w:firstLineChars="0"/>
              <w:rPr>
                <w:rFonts w:ascii="宋体" w:hAnsi="宋体"/>
                <w:szCs w:val="21"/>
                <w:highlight w:val="none"/>
              </w:rPr>
            </w:pPr>
          </w:p>
        </w:tc>
        <w:tc>
          <w:tcPr>
            <w:tcW w:w="750" w:type="dxa"/>
            <w:noWrap w:val="0"/>
            <w:vAlign w:val="top"/>
          </w:tcPr>
          <w:p w14:paraId="7A1EAB7D">
            <w:pPr>
              <w:adjustRightInd w:val="0"/>
              <w:snapToGrid w:val="0"/>
              <w:spacing w:line="240" w:lineRule="auto"/>
              <w:ind w:firstLine="0" w:firstLineChars="0"/>
              <w:rPr>
                <w:rFonts w:ascii="宋体" w:hAnsi="宋体"/>
                <w:szCs w:val="21"/>
                <w:highlight w:val="none"/>
              </w:rPr>
            </w:pPr>
          </w:p>
        </w:tc>
      </w:tr>
      <w:tr w14:paraId="3A691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2F24F6E2">
            <w:pPr>
              <w:adjustRightInd w:val="0"/>
              <w:snapToGrid w:val="0"/>
              <w:spacing w:line="240" w:lineRule="auto"/>
              <w:ind w:firstLine="0" w:firstLineChars="0"/>
              <w:jc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8</w:t>
            </w:r>
          </w:p>
        </w:tc>
        <w:tc>
          <w:tcPr>
            <w:tcW w:w="4575" w:type="dxa"/>
            <w:shd w:val="clear" w:color="auto" w:fill="auto"/>
            <w:noWrap w:val="0"/>
            <w:vAlign w:val="center"/>
          </w:tcPr>
          <w:p w14:paraId="01CD7ED5">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缴纳参评保证金</w:t>
            </w:r>
            <w:r>
              <w:rPr>
                <w:rFonts w:hint="eastAsia" w:ascii="宋体" w:hAnsi="宋体" w:cs="宋体"/>
                <w:color w:val="auto"/>
                <w:sz w:val="24"/>
                <w:szCs w:val="24"/>
                <w:highlight w:val="none"/>
                <w:lang w:eastAsia="zh-CN"/>
              </w:rPr>
              <w:t>壹拾肆</w:t>
            </w:r>
            <w:r>
              <w:rPr>
                <w:rFonts w:hint="eastAsia" w:ascii="宋体" w:hAnsi="宋体" w:eastAsia="宋体" w:cs="宋体"/>
                <w:color w:val="auto"/>
                <w:sz w:val="24"/>
                <w:szCs w:val="24"/>
                <w:highlight w:val="none"/>
                <w:lang w:eastAsia="zh-CN"/>
              </w:rPr>
              <w:t>万元整（¥</w:t>
            </w:r>
            <w:r>
              <w:rPr>
                <w:rFonts w:hint="eastAsia" w:ascii="宋体" w:hAnsi="宋体" w:cs="宋体"/>
                <w:color w:val="auto"/>
                <w:sz w:val="24"/>
                <w:szCs w:val="24"/>
                <w:highlight w:val="none"/>
                <w:lang w:eastAsia="zh-CN"/>
              </w:rPr>
              <w:t>140</w:t>
            </w:r>
            <w:r>
              <w:rPr>
                <w:rFonts w:hint="eastAsia" w:ascii="宋体" w:hAnsi="宋体" w:eastAsia="宋体" w:cs="宋体"/>
                <w:color w:val="auto"/>
                <w:sz w:val="24"/>
                <w:szCs w:val="24"/>
                <w:highlight w:val="none"/>
                <w:lang w:eastAsia="zh-CN"/>
              </w:rPr>
              <w:t>,000.00）：通过银行转账至指定账户，需附转账凭证复印件；</w:t>
            </w:r>
            <w:r>
              <w:rPr>
                <w:rFonts w:hint="eastAsia" w:ascii="宋体" w:hAnsi="宋体" w:cs="宋体"/>
                <w:color w:val="auto"/>
                <w:sz w:val="24"/>
                <w:szCs w:val="24"/>
                <w:highlight w:val="none"/>
                <w:lang w:eastAsia="zh-CN"/>
              </w:rPr>
              <w:t>或者</w:t>
            </w:r>
            <w:r>
              <w:rPr>
                <w:rFonts w:hint="eastAsia" w:ascii="宋体" w:hAnsi="宋体" w:eastAsia="宋体" w:cs="宋体"/>
                <w:color w:val="auto"/>
                <w:sz w:val="24"/>
                <w:szCs w:val="24"/>
                <w:highlight w:val="none"/>
                <w:lang w:eastAsia="zh-CN"/>
              </w:rPr>
              <w:t>提交以“中山市公共交通运输集团有限公司”为受益人、由在中山市设有分支机构的银行开具的不可撤销见索即付保函，若为纸质保函须提供原件，若为电子保函则应彩色打印成纸质文件并同时附上银行发送的保函通知截图或验证二维码。</w:t>
            </w:r>
          </w:p>
        </w:tc>
        <w:tc>
          <w:tcPr>
            <w:tcW w:w="699" w:type="dxa"/>
            <w:noWrap w:val="0"/>
            <w:vAlign w:val="top"/>
          </w:tcPr>
          <w:p w14:paraId="2DD5DF77">
            <w:pPr>
              <w:adjustRightInd w:val="0"/>
              <w:snapToGrid w:val="0"/>
              <w:spacing w:line="240" w:lineRule="auto"/>
              <w:ind w:firstLine="0" w:firstLineChars="0"/>
              <w:rPr>
                <w:rFonts w:ascii="宋体" w:hAnsi="宋体"/>
                <w:szCs w:val="21"/>
                <w:highlight w:val="none"/>
              </w:rPr>
            </w:pPr>
          </w:p>
        </w:tc>
        <w:tc>
          <w:tcPr>
            <w:tcW w:w="750" w:type="dxa"/>
            <w:noWrap w:val="0"/>
            <w:vAlign w:val="top"/>
          </w:tcPr>
          <w:p w14:paraId="56B47A9A">
            <w:pPr>
              <w:adjustRightInd w:val="0"/>
              <w:snapToGrid w:val="0"/>
              <w:spacing w:line="240" w:lineRule="auto"/>
              <w:ind w:firstLine="0" w:firstLineChars="0"/>
              <w:rPr>
                <w:rFonts w:ascii="宋体" w:hAnsi="宋体"/>
                <w:szCs w:val="21"/>
                <w:highlight w:val="none"/>
              </w:rPr>
            </w:pPr>
          </w:p>
        </w:tc>
        <w:tc>
          <w:tcPr>
            <w:tcW w:w="769" w:type="dxa"/>
            <w:noWrap w:val="0"/>
            <w:vAlign w:val="top"/>
          </w:tcPr>
          <w:p w14:paraId="62E0D1C8">
            <w:pPr>
              <w:adjustRightInd w:val="0"/>
              <w:snapToGrid w:val="0"/>
              <w:spacing w:line="240" w:lineRule="auto"/>
              <w:ind w:firstLine="0" w:firstLineChars="0"/>
              <w:rPr>
                <w:rFonts w:ascii="宋体" w:hAnsi="宋体"/>
                <w:szCs w:val="21"/>
                <w:highlight w:val="none"/>
              </w:rPr>
            </w:pPr>
          </w:p>
        </w:tc>
        <w:tc>
          <w:tcPr>
            <w:tcW w:w="741" w:type="dxa"/>
            <w:noWrap w:val="0"/>
            <w:vAlign w:val="top"/>
          </w:tcPr>
          <w:p w14:paraId="6C690FF6">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6A3F7F9">
            <w:pPr>
              <w:adjustRightInd w:val="0"/>
              <w:snapToGrid w:val="0"/>
              <w:spacing w:line="240" w:lineRule="auto"/>
              <w:ind w:firstLine="0" w:firstLineChars="0"/>
              <w:rPr>
                <w:rFonts w:ascii="宋体" w:hAnsi="宋体"/>
                <w:szCs w:val="21"/>
                <w:highlight w:val="none"/>
              </w:rPr>
            </w:pPr>
          </w:p>
        </w:tc>
      </w:tr>
      <w:tr w14:paraId="53038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433" w:type="dxa"/>
            <w:shd w:val="clear" w:color="auto" w:fill="auto"/>
            <w:noWrap w:val="0"/>
            <w:vAlign w:val="center"/>
          </w:tcPr>
          <w:p w14:paraId="3B2EFE81">
            <w:pPr>
              <w:adjustRightInd w:val="0"/>
              <w:snapToGrid w:val="0"/>
              <w:spacing w:line="240" w:lineRule="auto"/>
              <w:ind w:firstLine="0" w:firstLineChars="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9</w:t>
            </w:r>
          </w:p>
        </w:tc>
        <w:tc>
          <w:tcPr>
            <w:tcW w:w="4575" w:type="dxa"/>
            <w:shd w:val="clear" w:color="auto" w:fill="auto"/>
            <w:noWrap w:val="0"/>
            <w:vAlign w:val="center"/>
          </w:tcPr>
          <w:p w14:paraId="3E4D09BA">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报价不高于372厘/千瓦时</w:t>
            </w:r>
          </w:p>
        </w:tc>
        <w:tc>
          <w:tcPr>
            <w:tcW w:w="699" w:type="dxa"/>
            <w:noWrap w:val="0"/>
            <w:vAlign w:val="top"/>
          </w:tcPr>
          <w:p w14:paraId="2EFD2BDB">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A4EDBD8">
            <w:pPr>
              <w:adjustRightInd w:val="0"/>
              <w:snapToGrid w:val="0"/>
              <w:spacing w:line="240" w:lineRule="auto"/>
              <w:ind w:firstLine="0" w:firstLineChars="0"/>
              <w:rPr>
                <w:rFonts w:ascii="宋体" w:hAnsi="宋体"/>
                <w:szCs w:val="21"/>
                <w:highlight w:val="none"/>
              </w:rPr>
            </w:pPr>
          </w:p>
        </w:tc>
        <w:tc>
          <w:tcPr>
            <w:tcW w:w="769" w:type="dxa"/>
            <w:noWrap w:val="0"/>
            <w:vAlign w:val="top"/>
          </w:tcPr>
          <w:p w14:paraId="178289C9">
            <w:pPr>
              <w:adjustRightInd w:val="0"/>
              <w:snapToGrid w:val="0"/>
              <w:spacing w:line="240" w:lineRule="auto"/>
              <w:ind w:firstLine="0" w:firstLineChars="0"/>
              <w:rPr>
                <w:rFonts w:ascii="宋体" w:hAnsi="宋体"/>
                <w:szCs w:val="21"/>
                <w:highlight w:val="none"/>
              </w:rPr>
            </w:pPr>
          </w:p>
        </w:tc>
        <w:tc>
          <w:tcPr>
            <w:tcW w:w="741" w:type="dxa"/>
            <w:noWrap w:val="0"/>
            <w:vAlign w:val="top"/>
          </w:tcPr>
          <w:p w14:paraId="73EE0733">
            <w:pPr>
              <w:adjustRightInd w:val="0"/>
              <w:snapToGrid w:val="0"/>
              <w:spacing w:line="240" w:lineRule="auto"/>
              <w:ind w:firstLine="0" w:firstLineChars="0"/>
              <w:rPr>
                <w:rFonts w:ascii="宋体" w:hAnsi="宋体"/>
                <w:szCs w:val="21"/>
                <w:highlight w:val="none"/>
              </w:rPr>
            </w:pPr>
          </w:p>
        </w:tc>
        <w:tc>
          <w:tcPr>
            <w:tcW w:w="750" w:type="dxa"/>
            <w:noWrap w:val="0"/>
            <w:vAlign w:val="top"/>
          </w:tcPr>
          <w:p w14:paraId="7FFCB536">
            <w:pPr>
              <w:adjustRightInd w:val="0"/>
              <w:snapToGrid w:val="0"/>
              <w:spacing w:line="240" w:lineRule="auto"/>
              <w:ind w:firstLine="0" w:firstLineChars="0"/>
              <w:rPr>
                <w:rFonts w:ascii="宋体" w:hAnsi="宋体"/>
                <w:szCs w:val="21"/>
                <w:highlight w:val="none"/>
              </w:rPr>
            </w:pPr>
          </w:p>
        </w:tc>
      </w:tr>
      <w:tr w14:paraId="0CF1A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433" w:type="dxa"/>
            <w:shd w:val="clear" w:color="auto" w:fill="auto"/>
            <w:noWrap w:val="0"/>
            <w:vAlign w:val="center"/>
          </w:tcPr>
          <w:p w14:paraId="15DDABC0">
            <w:pPr>
              <w:adjustRightInd w:val="0"/>
              <w:snapToGrid w:val="0"/>
              <w:spacing w:line="240" w:lineRule="auto"/>
              <w:ind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10</w:t>
            </w:r>
          </w:p>
        </w:tc>
        <w:tc>
          <w:tcPr>
            <w:tcW w:w="4575" w:type="dxa"/>
            <w:shd w:val="clear" w:color="auto" w:fill="auto"/>
            <w:noWrap w:val="0"/>
            <w:vAlign w:val="center"/>
          </w:tcPr>
          <w:p w14:paraId="39898370">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both"/>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满足“用户需求书”</w:t>
            </w:r>
            <w:r>
              <w:rPr>
                <w:rFonts w:hint="eastAsia" w:ascii="宋体" w:hAnsi="宋体"/>
                <w:color w:val="auto"/>
                <w:highlight w:val="none"/>
              </w:rPr>
              <w:t>全部重要条款（“★”指标）</w:t>
            </w:r>
          </w:p>
        </w:tc>
        <w:tc>
          <w:tcPr>
            <w:tcW w:w="699" w:type="dxa"/>
            <w:noWrap w:val="0"/>
            <w:vAlign w:val="top"/>
          </w:tcPr>
          <w:p w14:paraId="29E84C45">
            <w:pPr>
              <w:adjustRightInd w:val="0"/>
              <w:snapToGrid w:val="0"/>
              <w:spacing w:line="240" w:lineRule="auto"/>
              <w:ind w:firstLine="0" w:firstLineChars="0"/>
              <w:rPr>
                <w:rFonts w:ascii="宋体" w:hAnsi="宋体"/>
                <w:szCs w:val="21"/>
                <w:highlight w:val="none"/>
              </w:rPr>
            </w:pPr>
          </w:p>
        </w:tc>
        <w:tc>
          <w:tcPr>
            <w:tcW w:w="750" w:type="dxa"/>
            <w:noWrap w:val="0"/>
            <w:vAlign w:val="top"/>
          </w:tcPr>
          <w:p w14:paraId="4E189403">
            <w:pPr>
              <w:adjustRightInd w:val="0"/>
              <w:snapToGrid w:val="0"/>
              <w:spacing w:line="240" w:lineRule="auto"/>
              <w:ind w:firstLine="0" w:firstLineChars="0"/>
              <w:rPr>
                <w:rFonts w:ascii="宋体" w:hAnsi="宋体"/>
                <w:szCs w:val="21"/>
                <w:highlight w:val="none"/>
              </w:rPr>
            </w:pPr>
          </w:p>
        </w:tc>
        <w:tc>
          <w:tcPr>
            <w:tcW w:w="769" w:type="dxa"/>
            <w:noWrap w:val="0"/>
            <w:vAlign w:val="top"/>
          </w:tcPr>
          <w:p w14:paraId="19A659EB">
            <w:pPr>
              <w:adjustRightInd w:val="0"/>
              <w:snapToGrid w:val="0"/>
              <w:spacing w:line="240" w:lineRule="auto"/>
              <w:ind w:firstLine="0" w:firstLineChars="0"/>
              <w:rPr>
                <w:rFonts w:ascii="宋体" w:hAnsi="宋体"/>
                <w:szCs w:val="21"/>
                <w:highlight w:val="none"/>
              </w:rPr>
            </w:pPr>
          </w:p>
        </w:tc>
        <w:tc>
          <w:tcPr>
            <w:tcW w:w="741" w:type="dxa"/>
            <w:noWrap w:val="0"/>
            <w:vAlign w:val="top"/>
          </w:tcPr>
          <w:p w14:paraId="24669D3E">
            <w:pPr>
              <w:adjustRightInd w:val="0"/>
              <w:snapToGrid w:val="0"/>
              <w:spacing w:line="240" w:lineRule="auto"/>
              <w:ind w:firstLine="0" w:firstLineChars="0"/>
              <w:rPr>
                <w:rFonts w:ascii="宋体" w:hAnsi="宋体"/>
                <w:szCs w:val="21"/>
                <w:highlight w:val="none"/>
              </w:rPr>
            </w:pPr>
          </w:p>
        </w:tc>
        <w:tc>
          <w:tcPr>
            <w:tcW w:w="750" w:type="dxa"/>
            <w:noWrap w:val="0"/>
            <w:vAlign w:val="top"/>
          </w:tcPr>
          <w:p w14:paraId="220FFA25">
            <w:pPr>
              <w:adjustRightInd w:val="0"/>
              <w:snapToGrid w:val="0"/>
              <w:spacing w:line="240" w:lineRule="auto"/>
              <w:ind w:firstLine="0" w:firstLineChars="0"/>
              <w:rPr>
                <w:rFonts w:ascii="宋体" w:hAnsi="宋体"/>
                <w:szCs w:val="21"/>
                <w:highlight w:val="none"/>
              </w:rPr>
            </w:pPr>
          </w:p>
        </w:tc>
      </w:tr>
      <w:tr w14:paraId="6D6DDD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008" w:type="dxa"/>
            <w:gridSpan w:val="2"/>
            <w:noWrap w:val="0"/>
            <w:vAlign w:val="center"/>
          </w:tcPr>
          <w:p w14:paraId="55369258">
            <w:pPr>
              <w:adjustRightInd w:val="0"/>
              <w:snapToGrid w:val="0"/>
              <w:spacing w:line="240" w:lineRule="auto"/>
              <w:ind w:firstLine="0" w:firstLineChars="0"/>
              <w:jc w:val="center"/>
              <w:rPr>
                <w:rFonts w:hint="eastAsia" w:ascii="宋体" w:hAnsi="宋体" w:eastAsia="宋体"/>
                <w:szCs w:val="21"/>
                <w:highlight w:val="none"/>
                <w:lang w:val="en-US" w:eastAsia="zh-CN"/>
              </w:rPr>
            </w:pPr>
            <w:r>
              <w:rPr>
                <w:rFonts w:hint="eastAsia" w:hAnsi="宋体"/>
                <w:b/>
                <w:color w:val="000000"/>
                <w:szCs w:val="21"/>
                <w:highlight w:val="none"/>
                <w:lang w:val="en-US" w:eastAsia="zh-CN"/>
              </w:rPr>
              <w:t>结论</w:t>
            </w:r>
          </w:p>
        </w:tc>
        <w:tc>
          <w:tcPr>
            <w:tcW w:w="699" w:type="dxa"/>
            <w:noWrap w:val="0"/>
            <w:vAlign w:val="top"/>
          </w:tcPr>
          <w:p w14:paraId="0674CA57">
            <w:pPr>
              <w:adjustRightInd w:val="0"/>
              <w:snapToGrid w:val="0"/>
              <w:spacing w:line="240" w:lineRule="auto"/>
              <w:ind w:firstLine="0" w:firstLineChars="0"/>
              <w:rPr>
                <w:rFonts w:ascii="宋体" w:hAnsi="宋体"/>
                <w:szCs w:val="21"/>
                <w:highlight w:val="none"/>
              </w:rPr>
            </w:pPr>
          </w:p>
        </w:tc>
        <w:tc>
          <w:tcPr>
            <w:tcW w:w="750" w:type="dxa"/>
            <w:noWrap w:val="0"/>
            <w:vAlign w:val="top"/>
          </w:tcPr>
          <w:p w14:paraId="35DDC55C">
            <w:pPr>
              <w:adjustRightInd w:val="0"/>
              <w:snapToGrid w:val="0"/>
              <w:spacing w:line="240" w:lineRule="auto"/>
              <w:ind w:firstLine="0" w:firstLineChars="0"/>
              <w:rPr>
                <w:rFonts w:ascii="宋体" w:hAnsi="宋体"/>
                <w:szCs w:val="21"/>
                <w:highlight w:val="none"/>
              </w:rPr>
            </w:pPr>
          </w:p>
        </w:tc>
        <w:tc>
          <w:tcPr>
            <w:tcW w:w="769" w:type="dxa"/>
            <w:noWrap w:val="0"/>
            <w:vAlign w:val="top"/>
          </w:tcPr>
          <w:p w14:paraId="201273F1">
            <w:pPr>
              <w:adjustRightInd w:val="0"/>
              <w:snapToGrid w:val="0"/>
              <w:spacing w:line="240" w:lineRule="auto"/>
              <w:ind w:firstLine="0" w:firstLineChars="0"/>
              <w:rPr>
                <w:rFonts w:ascii="宋体" w:hAnsi="宋体"/>
                <w:szCs w:val="21"/>
                <w:highlight w:val="none"/>
              </w:rPr>
            </w:pPr>
          </w:p>
        </w:tc>
        <w:tc>
          <w:tcPr>
            <w:tcW w:w="741" w:type="dxa"/>
            <w:noWrap w:val="0"/>
            <w:vAlign w:val="top"/>
          </w:tcPr>
          <w:p w14:paraId="04CF22B2">
            <w:pPr>
              <w:adjustRightInd w:val="0"/>
              <w:snapToGrid w:val="0"/>
              <w:spacing w:line="240" w:lineRule="auto"/>
              <w:ind w:firstLine="0" w:firstLineChars="0"/>
              <w:rPr>
                <w:rFonts w:ascii="宋体" w:hAnsi="宋体"/>
                <w:szCs w:val="21"/>
                <w:highlight w:val="none"/>
              </w:rPr>
            </w:pPr>
          </w:p>
        </w:tc>
        <w:tc>
          <w:tcPr>
            <w:tcW w:w="750" w:type="dxa"/>
            <w:noWrap w:val="0"/>
            <w:vAlign w:val="top"/>
          </w:tcPr>
          <w:p w14:paraId="0979B7DC">
            <w:pPr>
              <w:adjustRightInd w:val="0"/>
              <w:snapToGrid w:val="0"/>
              <w:spacing w:line="240" w:lineRule="auto"/>
              <w:ind w:firstLine="0" w:firstLineChars="0"/>
              <w:rPr>
                <w:rFonts w:ascii="宋体" w:hAnsi="宋体"/>
                <w:szCs w:val="21"/>
                <w:highlight w:val="none"/>
              </w:rPr>
            </w:pPr>
          </w:p>
        </w:tc>
      </w:tr>
      <w:tr w14:paraId="338B4E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717" w:type="dxa"/>
            <w:gridSpan w:val="7"/>
            <w:noWrap w:val="0"/>
            <w:vAlign w:val="center"/>
          </w:tcPr>
          <w:p w14:paraId="10BC39AA">
            <w:pPr>
              <w:adjustRightInd w:val="0"/>
              <w:snapToGrid w:val="0"/>
              <w:spacing w:line="240" w:lineRule="auto"/>
              <w:ind w:firstLine="0" w:firstLineChars="0"/>
              <w:rPr>
                <w:rFonts w:hint="eastAsia" w:ascii="宋体" w:hAnsi="宋体" w:eastAsia="宋体"/>
                <w:szCs w:val="21"/>
                <w:highlight w:val="none"/>
                <w:lang w:val="en-US" w:eastAsia="zh-CN"/>
              </w:rPr>
            </w:pPr>
            <w:r>
              <w:rPr>
                <w:rFonts w:hint="eastAsia" w:ascii="宋体" w:hAnsi="宋体"/>
                <w:sz w:val="24"/>
                <w:highlight w:val="none"/>
              </w:rPr>
              <w:t>不通过原因</w:t>
            </w:r>
            <w:r>
              <w:rPr>
                <w:rFonts w:hint="eastAsia" w:ascii="宋体" w:hAnsi="宋体"/>
                <w:sz w:val="24"/>
                <w:highlight w:val="none"/>
                <w:lang w:val="en-US" w:eastAsia="zh-CN"/>
              </w:rPr>
              <w:t>说明：</w:t>
            </w:r>
          </w:p>
        </w:tc>
      </w:tr>
      <w:tr w14:paraId="3F6EF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717" w:type="dxa"/>
            <w:gridSpan w:val="7"/>
            <w:noWrap w:val="0"/>
            <w:vAlign w:val="center"/>
          </w:tcPr>
          <w:p w14:paraId="7F795BAA">
            <w:pPr>
              <w:adjustRightInd w:val="0"/>
              <w:snapToGrid w:val="0"/>
              <w:spacing w:line="240" w:lineRule="auto"/>
              <w:ind w:firstLine="0" w:firstLineChars="0"/>
              <w:rPr>
                <w:rFonts w:hint="default" w:ascii="宋体" w:hAnsi="宋体" w:eastAsia="宋体"/>
                <w:sz w:val="24"/>
                <w:highlight w:val="none"/>
                <w:lang w:val="en-US" w:eastAsia="zh-CN"/>
              </w:rPr>
            </w:pPr>
            <w:r>
              <w:rPr>
                <w:rFonts w:hint="eastAsia" w:ascii="宋体" w:hAnsi="宋体"/>
                <w:sz w:val="24"/>
                <w:highlight w:val="none"/>
                <w:lang w:eastAsia="zh-CN"/>
              </w:rPr>
              <w:t>通过资格审查的潜在</w:t>
            </w:r>
            <w:r>
              <w:rPr>
                <w:rFonts w:hint="eastAsia" w:ascii="宋体" w:hAnsi="宋体"/>
                <w:sz w:val="24"/>
                <w:highlight w:val="none"/>
                <w:lang w:val="en-US" w:eastAsia="zh-CN"/>
              </w:rPr>
              <w:t>参评单位</w:t>
            </w:r>
            <w:r>
              <w:rPr>
                <w:rFonts w:hint="eastAsia" w:ascii="宋体" w:hAnsi="宋体"/>
                <w:sz w:val="24"/>
                <w:highlight w:val="none"/>
                <w:lang w:eastAsia="zh-CN"/>
              </w:rPr>
              <w:t>共</w:t>
            </w:r>
            <w:r>
              <w:rPr>
                <w:rFonts w:hint="eastAsia" w:ascii="宋体" w:hAnsi="宋体"/>
                <w:sz w:val="24"/>
                <w:highlight w:val="none"/>
                <w:lang w:val="en-US" w:eastAsia="zh-CN"/>
              </w:rPr>
              <w:t>___________家。</w:t>
            </w:r>
          </w:p>
        </w:tc>
      </w:tr>
    </w:tbl>
    <w:p w14:paraId="67B00F32">
      <w:pPr>
        <w:spacing w:line="240" w:lineRule="auto"/>
        <w:ind w:right="-266" w:rightChars="-111"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备</w:t>
      </w:r>
      <w:r>
        <w:rPr>
          <w:rFonts w:hint="eastAsia" w:ascii="宋体" w:hAnsi="宋体" w:eastAsia="宋体" w:cs="宋体"/>
          <w:sz w:val="24"/>
          <w:szCs w:val="24"/>
          <w:highlight w:val="none"/>
        </w:rPr>
        <w:t>注：</w:t>
      </w:r>
    </w:p>
    <w:p w14:paraId="5FBC0780">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1．评审时评委对报价人是否满足要求逐条标注评审意见，“是”标记为“〇”，“否”标记为“×”；</w:t>
      </w:r>
    </w:p>
    <w:p w14:paraId="53490D3E">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2．评审结论栏统一填写为“通过”或“不通过”；评审内容只要有一项“×”，结论为“不通过”；对结论为“不通过”的，要说明原因。</w:t>
      </w:r>
    </w:p>
    <w:p w14:paraId="08008CBF">
      <w:pPr>
        <w:spacing w:line="240" w:lineRule="auto"/>
        <w:ind w:firstLine="0" w:firstLine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3.上述表格可手写或打印，但不能涂改。</w:t>
      </w:r>
    </w:p>
    <w:p w14:paraId="77F283F6">
      <w:pPr>
        <w:spacing w:line="240" w:lineRule="auto"/>
        <w:ind w:firstLine="0" w:firstLineChars="0"/>
        <w:rPr>
          <w:rFonts w:hint="eastAsia" w:ascii="宋体" w:hAnsi="宋体" w:cs="宋体"/>
          <w:sz w:val="24"/>
          <w:szCs w:val="24"/>
          <w:highlight w:val="none"/>
          <w:lang w:val="en-US" w:eastAsia="zh-CN"/>
        </w:rPr>
      </w:pPr>
    </w:p>
    <w:p w14:paraId="5A7A002C">
      <w:pPr>
        <w:spacing w:line="240" w:lineRule="auto"/>
        <w:ind w:firstLine="202" w:firstLineChars="85"/>
        <w:rPr>
          <w:rFonts w:hint="eastAsia" w:ascii="宋体" w:hAnsi="宋体" w:eastAsia="宋体" w:cs="宋体"/>
          <w:sz w:val="24"/>
          <w:szCs w:val="24"/>
          <w:highlight w:val="none"/>
        </w:rPr>
      </w:pPr>
      <w:r>
        <w:rPr>
          <w:rFonts w:hint="eastAsia" w:ascii="宋体" w:hAnsi="宋体" w:eastAsia="宋体" w:cs="宋体"/>
          <w:spacing w:val="-1"/>
          <w:sz w:val="24"/>
          <w:szCs w:val="24"/>
          <w:lang w:eastAsia="zh-CN"/>
        </w:rPr>
        <w:t>评选小组</w:t>
      </w:r>
      <w:r>
        <w:rPr>
          <w:rFonts w:ascii="宋体" w:hAnsi="宋体" w:eastAsia="宋体" w:cs="宋体"/>
          <w:spacing w:val="-1"/>
          <w:sz w:val="24"/>
          <w:szCs w:val="24"/>
        </w:rPr>
        <w:t>全体成员</w:t>
      </w:r>
      <w:r>
        <w:rPr>
          <w:rFonts w:hint="eastAsia" w:ascii="宋体" w:hAnsi="宋体" w:eastAsia="宋体" w:cs="宋体"/>
          <w:sz w:val="24"/>
          <w:szCs w:val="24"/>
          <w:highlight w:val="none"/>
        </w:rPr>
        <w:t>签名：</w:t>
      </w:r>
    </w:p>
    <w:p w14:paraId="6EA4F70E">
      <w:pPr>
        <w:pStyle w:val="17"/>
        <w:rPr>
          <w:rFonts w:hint="eastAsia" w:ascii="宋体" w:hAnsi="宋体" w:eastAsia="宋体" w:cs="宋体"/>
          <w:sz w:val="24"/>
          <w:szCs w:val="24"/>
          <w:highlight w:val="none"/>
          <w:lang w:val="en-US" w:eastAsia="zh-CN"/>
        </w:rPr>
      </w:pPr>
    </w:p>
    <w:p w14:paraId="0A93FBED">
      <w:pPr>
        <w:pStyle w:val="1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评审日期</w:t>
      </w:r>
      <w:r>
        <w:rPr>
          <w:rFonts w:hint="eastAsia" w:ascii="宋体" w:hAnsi="宋体" w:eastAsia="宋体" w:cs="宋体"/>
          <w:sz w:val="24"/>
          <w:szCs w:val="24"/>
          <w:highlight w:val="none"/>
        </w:rPr>
        <w:t>：</w:t>
      </w:r>
    </w:p>
    <w:p w14:paraId="3E6BADFC">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技术商务得分汇总表</w:t>
      </w:r>
    </w:p>
    <w:p w14:paraId="11E4249D">
      <w:pPr>
        <w:spacing w:before="140" w:line="223" w:lineRule="auto"/>
        <w:ind w:left="2446"/>
      </w:pPr>
      <w:r>
        <w:rPr>
          <w:rFonts w:ascii="宋体" w:hAnsi="宋体" w:eastAsia="宋体" w:cs="宋体"/>
          <w:b/>
          <w:bCs/>
          <w:spacing w:val="4"/>
          <w:sz w:val="43"/>
          <w:szCs w:val="43"/>
        </w:rPr>
        <w:t>技术商务得分汇总表</w:t>
      </w:r>
    </w:p>
    <w:tbl>
      <w:tblPr>
        <w:tblStyle w:val="26"/>
        <w:tblW w:w="88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694"/>
        <w:gridCol w:w="900"/>
        <w:gridCol w:w="901"/>
        <w:gridCol w:w="900"/>
        <w:gridCol w:w="900"/>
        <w:gridCol w:w="900"/>
        <w:gridCol w:w="1910"/>
      </w:tblGrid>
      <w:tr w14:paraId="195EB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blHeader/>
        </w:trPr>
        <w:tc>
          <w:tcPr>
            <w:tcW w:w="720" w:type="dxa"/>
            <w:vAlign w:val="center"/>
          </w:tcPr>
          <w:p w14:paraId="5C56D99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序号</w:t>
            </w:r>
          </w:p>
        </w:tc>
        <w:tc>
          <w:tcPr>
            <w:tcW w:w="1694" w:type="dxa"/>
            <w:vAlign w:val="center"/>
          </w:tcPr>
          <w:p w14:paraId="2D769AF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参评单位</w:t>
            </w:r>
          </w:p>
        </w:tc>
        <w:tc>
          <w:tcPr>
            <w:tcW w:w="900" w:type="dxa"/>
            <w:vAlign w:val="center"/>
          </w:tcPr>
          <w:p w14:paraId="3DF4C43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评委A</w:t>
            </w:r>
          </w:p>
        </w:tc>
        <w:tc>
          <w:tcPr>
            <w:tcW w:w="901" w:type="dxa"/>
            <w:vAlign w:val="center"/>
          </w:tcPr>
          <w:p w14:paraId="241AAF0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评委B</w:t>
            </w:r>
          </w:p>
        </w:tc>
        <w:tc>
          <w:tcPr>
            <w:tcW w:w="900" w:type="dxa"/>
            <w:vAlign w:val="center"/>
          </w:tcPr>
          <w:p w14:paraId="7A7130A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评委C</w:t>
            </w:r>
          </w:p>
        </w:tc>
        <w:tc>
          <w:tcPr>
            <w:tcW w:w="900" w:type="dxa"/>
            <w:vAlign w:val="center"/>
          </w:tcPr>
          <w:p w14:paraId="697AC79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评委D</w:t>
            </w:r>
          </w:p>
        </w:tc>
        <w:tc>
          <w:tcPr>
            <w:tcW w:w="900" w:type="dxa"/>
            <w:vAlign w:val="center"/>
          </w:tcPr>
          <w:p w14:paraId="0FD8AA2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评委E</w:t>
            </w:r>
          </w:p>
        </w:tc>
        <w:tc>
          <w:tcPr>
            <w:tcW w:w="1910" w:type="dxa"/>
            <w:vAlign w:val="center"/>
          </w:tcPr>
          <w:p w14:paraId="7C857F6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平均得分</w:t>
            </w:r>
          </w:p>
        </w:tc>
      </w:tr>
      <w:tr w14:paraId="179FC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0" w:type="dxa"/>
            <w:vAlign w:val="center"/>
          </w:tcPr>
          <w:p w14:paraId="4D73309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694" w:type="dxa"/>
            <w:vAlign w:val="center"/>
          </w:tcPr>
          <w:p w14:paraId="5F3A176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参评单位A</w:t>
            </w:r>
          </w:p>
        </w:tc>
        <w:tc>
          <w:tcPr>
            <w:tcW w:w="900" w:type="dxa"/>
            <w:vAlign w:val="center"/>
          </w:tcPr>
          <w:p w14:paraId="4580235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1" w:type="dxa"/>
            <w:vAlign w:val="center"/>
          </w:tcPr>
          <w:p w14:paraId="76E8A37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332A6D3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1991D23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1A5B725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1910" w:type="dxa"/>
            <w:vAlign w:val="center"/>
          </w:tcPr>
          <w:p w14:paraId="259942D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r>
      <w:tr w14:paraId="482B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0" w:type="dxa"/>
            <w:vAlign w:val="center"/>
          </w:tcPr>
          <w:p w14:paraId="6C74768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1694" w:type="dxa"/>
            <w:vAlign w:val="center"/>
          </w:tcPr>
          <w:p w14:paraId="406EA9D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参评单位B</w:t>
            </w:r>
          </w:p>
        </w:tc>
        <w:tc>
          <w:tcPr>
            <w:tcW w:w="900" w:type="dxa"/>
            <w:vAlign w:val="center"/>
          </w:tcPr>
          <w:p w14:paraId="130D68A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1" w:type="dxa"/>
            <w:vAlign w:val="center"/>
          </w:tcPr>
          <w:p w14:paraId="20A7EC8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6BC8B8F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543025E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7926C16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1910" w:type="dxa"/>
            <w:vAlign w:val="center"/>
          </w:tcPr>
          <w:p w14:paraId="3EDC25E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r>
      <w:tr w14:paraId="12ABE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0" w:type="dxa"/>
            <w:vAlign w:val="center"/>
          </w:tcPr>
          <w:p w14:paraId="30766CC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1694" w:type="dxa"/>
            <w:vAlign w:val="center"/>
          </w:tcPr>
          <w:p w14:paraId="7CDEBED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参评单位C</w:t>
            </w:r>
          </w:p>
        </w:tc>
        <w:tc>
          <w:tcPr>
            <w:tcW w:w="900" w:type="dxa"/>
            <w:vAlign w:val="center"/>
          </w:tcPr>
          <w:p w14:paraId="3CEC8DD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1" w:type="dxa"/>
            <w:vAlign w:val="center"/>
          </w:tcPr>
          <w:p w14:paraId="2A05FF8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242EABD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7FF6BDB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4E46CB3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1910" w:type="dxa"/>
            <w:vAlign w:val="center"/>
          </w:tcPr>
          <w:p w14:paraId="5BCE183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r>
      <w:tr w14:paraId="32886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20" w:type="dxa"/>
            <w:vAlign w:val="center"/>
          </w:tcPr>
          <w:p w14:paraId="3812F77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4</w:t>
            </w:r>
          </w:p>
        </w:tc>
        <w:tc>
          <w:tcPr>
            <w:tcW w:w="1694" w:type="dxa"/>
            <w:vAlign w:val="center"/>
          </w:tcPr>
          <w:p w14:paraId="1FC32DC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
                <w:position w:val="1"/>
                <w:sz w:val="24"/>
                <w:szCs w:val="24"/>
              </w:rPr>
              <w:t>......</w:t>
            </w:r>
          </w:p>
        </w:tc>
        <w:tc>
          <w:tcPr>
            <w:tcW w:w="900" w:type="dxa"/>
            <w:vAlign w:val="center"/>
          </w:tcPr>
          <w:p w14:paraId="54926C9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1" w:type="dxa"/>
            <w:vAlign w:val="center"/>
          </w:tcPr>
          <w:p w14:paraId="53A356C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5601D55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7FBA7A1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900" w:type="dxa"/>
            <w:vAlign w:val="center"/>
          </w:tcPr>
          <w:p w14:paraId="0D913AE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c>
          <w:tcPr>
            <w:tcW w:w="1910" w:type="dxa"/>
            <w:vAlign w:val="center"/>
          </w:tcPr>
          <w:p w14:paraId="28855A9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b w:val="0"/>
                <w:bCs w:val="0"/>
                <w:sz w:val="24"/>
                <w:szCs w:val="24"/>
              </w:rPr>
            </w:pPr>
          </w:p>
        </w:tc>
      </w:tr>
      <w:tr w14:paraId="057BD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825" w:type="dxa"/>
            <w:gridSpan w:val="8"/>
            <w:vAlign w:val="center"/>
          </w:tcPr>
          <w:p w14:paraId="5765F8A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pacing w:val="8"/>
                <w:position w:val="2"/>
                <w:sz w:val="24"/>
                <w:szCs w:val="24"/>
              </w:rPr>
              <w:t>说明：</w:t>
            </w:r>
            <w:r>
              <w:rPr>
                <w:rFonts w:hint="eastAsia" w:ascii="宋体" w:hAnsi="宋体" w:eastAsia="宋体" w:cs="宋体"/>
                <w:b w:val="0"/>
                <w:bCs w:val="0"/>
                <w:spacing w:val="8"/>
                <w:position w:val="2"/>
                <w:sz w:val="24"/>
                <w:szCs w:val="24"/>
                <w:lang w:eastAsia="zh-CN"/>
              </w:rPr>
              <w:t>按</w:t>
            </w:r>
            <w:r>
              <w:rPr>
                <w:rFonts w:hint="eastAsia" w:ascii="宋体" w:hAnsi="宋体" w:eastAsia="宋体" w:cs="宋体"/>
                <w:b w:val="0"/>
                <w:bCs w:val="0"/>
                <w:spacing w:val="8"/>
                <w:position w:val="2"/>
                <w:sz w:val="24"/>
                <w:szCs w:val="24"/>
              </w:rPr>
              <w:t>四舍五入</w:t>
            </w:r>
            <w:r>
              <w:rPr>
                <w:rFonts w:hint="eastAsia" w:ascii="宋体" w:hAnsi="宋体" w:eastAsia="宋体" w:cs="宋体"/>
                <w:b w:val="0"/>
                <w:bCs w:val="0"/>
                <w:spacing w:val="8"/>
                <w:position w:val="2"/>
                <w:sz w:val="24"/>
                <w:szCs w:val="24"/>
                <w:lang w:eastAsia="zh-CN"/>
              </w:rPr>
              <w:t>取</w:t>
            </w:r>
            <w:r>
              <w:rPr>
                <w:rFonts w:hint="eastAsia" w:ascii="宋体" w:hAnsi="宋体" w:eastAsia="宋体" w:cs="宋体"/>
                <w:b w:val="0"/>
                <w:bCs w:val="0"/>
                <w:spacing w:val="8"/>
                <w:position w:val="2"/>
                <w:sz w:val="24"/>
                <w:szCs w:val="24"/>
              </w:rPr>
              <w:t>2位</w:t>
            </w:r>
            <w:r>
              <w:rPr>
                <w:rFonts w:hint="eastAsia" w:ascii="宋体" w:hAnsi="宋体" w:eastAsia="宋体" w:cs="宋体"/>
                <w:b w:val="0"/>
                <w:bCs w:val="0"/>
                <w:spacing w:val="8"/>
                <w:position w:val="2"/>
                <w:sz w:val="24"/>
                <w:szCs w:val="24"/>
                <w:lang w:eastAsia="zh-CN"/>
              </w:rPr>
              <w:t>小</w:t>
            </w:r>
            <w:r>
              <w:rPr>
                <w:rFonts w:hint="eastAsia" w:ascii="宋体" w:hAnsi="宋体" w:eastAsia="宋体" w:cs="宋体"/>
                <w:b w:val="0"/>
                <w:bCs w:val="0"/>
                <w:spacing w:val="8"/>
                <w:position w:val="2"/>
                <w:sz w:val="24"/>
                <w:szCs w:val="24"/>
              </w:rPr>
              <w:t>数。</w:t>
            </w:r>
          </w:p>
        </w:tc>
      </w:tr>
    </w:tbl>
    <w:p w14:paraId="66013543">
      <w:pPr>
        <w:spacing w:before="35" w:line="219" w:lineRule="auto"/>
        <w:rPr>
          <w:rFonts w:ascii="宋体" w:hAnsi="宋体" w:eastAsia="宋体" w:cs="宋体"/>
          <w:b w:val="0"/>
          <w:bCs w:val="0"/>
          <w:sz w:val="24"/>
          <w:szCs w:val="24"/>
        </w:rPr>
      </w:pPr>
      <w:r>
        <w:rPr>
          <w:rFonts w:ascii="宋体" w:hAnsi="宋体" w:eastAsia="宋体" w:cs="宋体"/>
          <w:b w:val="0"/>
          <w:bCs w:val="0"/>
          <w:spacing w:val="-3"/>
          <w:sz w:val="24"/>
          <w:szCs w:val="24"/>
        </w:rPr>
        <w:t>注：上述表格可手写或打印，但不能涂改。</w:t>
      </w:r>
    </w:p>
    <w:p w14:paraId="140B1390">
      <w:pPr>
        <w:spacing w:before="78" w:line="219" w:lineRule="auto"/>
        <w:ind w:left="271"/>
        <w:rPr>
          <w:rFonts w:hint="eastAsia" w:ascii="宋体" w:hAnsi="宋体" w:eastAsia="宋体" w:cs="宋体"/>
          <w:spacing w:val="-1"/>
          <w:sz w:val="24"/>
          <w:szCs w:val="24"/>
          <w:lang w:eastAsia="zh-CN"/>
        </w:rPr>
      </w:pPr>
    </w:p>
    <w:p w14:paraId="1CA7D6BB">
      <w:pPr>
        <w:spacing w:before="78" w:line="219" w:lineRule="auto"/>
        <w:ind w:left="271"/>
        <w:rPr>
          <w:rFonts w:ascii="宋体" w:hAnsi="宋体" w:eastAsia="宋体" w:cs="宋体"/>
          <w:spacing w:val="-1"/>
          <w:sz w:val="24"/>
          <w:szCs w:val="24"/>
        </w:rPr>
      </w:pPr>
      <w:r>
        <w:rPr>
          <w:rFonts w:hint="eastAsia" w:ascii="宋体" w:hAnsi="宋体" w:eastAsia="宋体" w:cs="宋体"/>
          <w:spacing w:val="-1"/>
          <w:sz w:val="24"/>
          <w:szCs w:val="24"/>
          <w:lang w:eastAsia="zh-CN"/>
        </w:rPr>
        <w:t>评选小组</w:t>
      </w:r>
      <w:r>
        <w:rPr>
          <w:rFonts w:ascii="宋体" w:hAnsi="宋体" w:eastAsia="宋体" w:cs="宋体"/>
          <w:spacing w:val="-1"/>
          <w:sz w:val="24"/>
          <w:szCs w:val="24"/>
        </w:rPr>
        <w:t>全体成员签名：</w:t>
      </w:r>
    </w:p>
    <w:p w14:paraId="5A03C922">
      <w:pPr>
        <w:spacing w:before="78" w:line="219" w:lineRule="auto"/>
        <w:ind w:left="271"/>
        <w:rPr>
          <w:rFonts w:ascii="宋体" w:hAnsi="宋体" w:eastAsia="宋体" w:cs="宋体"/>
          <w:spacing w:val="-1"/>
          <w:sz w:val="24"/>
          <w:szCs w:val="24"/>
        </w:rPr>
      </w:pPr>
    </w:p>
    <w:p w14:paraId="4F21DF2B">
      <w:pPr>
        <w:spacing w:before="78" w:line="219" w:lineRule="auto"/>
        <w:ind w:left="271"/>
        <w:rPr>
          <w:rFonts w:ascii="宋体" w:hAnsi="宋体" w:eastAsia="宋体" w:cs="宋体"/>
          <w:spacing w:val="-1"/>
          <w:sz w:val="24"/>
          <w:szCs w:val="24"/>
        </w:rPr>
      </w:pPr>
    </w:p>
    <w:p w14:paraId="75814CBD">
      <w:pPr>
        <w:spacing w:before="78" w:line="219" w:lineRule="auto"/>
        <w:ind w:left="271"/>
        <w:rPr>
          <w:rFonts w:ascii="宋体" w:hAnsi="宋体" w:eastAsia="宋体" w:cs="宋体"/>
          <w:spacing w:val="-2"/>
          <w:sz w:val="24"/>
          <w:szCs w:val="24"/>
        </w:rPr>
      </w:pPr>
      <w:r>
        <w:rPr>
          <w:rFonts w:ascii="宋体" w:hAnsi="宋体" w:eastAsia="宋体" w:cs="宋体"/>
          <w:spacing w:val="-2"/>
          <w:sz w:val="24"/>
          <w:szCs w:val="24"/>
        </w:rPr>
        <w:t>评审日期：</w:t>
      </w:r>
    </w:p>
    <w:p w14:paraId="34C0A5C8">
      <w:pPr>
        <w:keepNext w:val="0"/>
        <w:keepLines w:val="0"/>
        <w:pageBreakBefore w:val="0"/>
        <w:widowControl w:val="0"/>
        <w:numPr>
          <w:ilvl w:val="0"/>
          <w:numId w:val="0"/>
        </w:numPr>
        <w:kinsoku/>
        <w:wordWrap/>
        <w:overflowPunct/>
        <w:topLinePunct w:val="0"/>
        <w:autoSpaceDE/>
        <w:autoSpaceDN/>
        <w:bidi w:val="0"/>
        <w:adjustRightInd/>
        <w:snapToGrid/>
        <w:spacing w:line="460" w:lineRule="atLeast"/>
        <w:textAlignment w:val="auto"/>
        <w:rPr>
          <w:rFonts w:hint="eastAsia" w:ascii="宋体" w:hAnsi="宋体" w:eastAsia="宋体" w:cs="宋体"/>
          <w:spacing w:val="-2"/>
          <w:sz w:val="24"/>
          <w:szCs w:val="24"/>
          <w:lang w:eastAsia="zh-CN"/>
        </w:rPr>
      </w:pPr>
    </w:p>
    <w:p w14:paraId="639EF3FE">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价格得分汇总表</w:t>
      </w:r>
    </w:p>
    <w:p w14:paraId="6460391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rPr>
          <w:rFonts w:ascii="宋体" w:hAnsi="宋体" w:eastAsia="宋体" w:cs="宋体"/>
          <w:b/>
          <w:bCs/>
          <w:spacing w:val="4"/>
          <w:sz w:val="43"/>
          <w:szCs w:val="43"/>
        </w:rPr>
        <w:t>价格得分汇总表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9"/>
        <w:gridCol w:w="1766"/>
        <w:gridCol w:w="4343"/>
        <w:gridCol w:w="1435"/>
      </w:tblGrid>
      <w:tr w14:paraId="66A4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blHeader/>
          <w:jc w:val="center"/>
        </w:trPr>
        <w:tc>
          <w:tcPr>
            <w:tcW w:w="463" w:type="pct"/>
            <w:vAlign w:val="center"/>
          </w:tcPr>
          <w:p w14:paraId="386C06C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序号</w:t>
            </w:r>
          </w:p>
        </w:tc>
        <w:tc>
          <w:tcPr>
            <w:tcW w:w="1062" w:type="pct"/>
            <w:vAlign w:val="center"/>
          </w:tcPr>
          <w:p w14:paraId="565A1A6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参评单位名称</w:t>
            </w:r>
          </w:p>
        </w:tc>
        <w:tc>
          <w:tcPr>
            <w:tcW w:w="2612" w:type="pct"/>
            <w:vAlign w:val="center"/>
          </w:tcPr>
          <w:p w14:paraId="426B19B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参评报价（</w:t>
            </w:r>
            <w:r>
              <w:rPr>
                <w:rFonts w:hint="eastAsia" w:ascii="宋体" w:hAnsi="宋体" w:eastAsia="宋体" w:cs="宋体"/>
                <w:b w:val="0"/>
                <w:bCs w:val="0"/>
                <w:spacing w:val="-2"/>
                <w:sz w:val="24"/>
                <w:szCs w:val="24"/>
                <w:lang w:eastAsia="zh-CN"/>
              </w:rPr>
              <w:t>厘</w:t>
            </w:r>
            <w:r>
              <w:rPr>
                <w:rFonts w:hint="eastAsia" w:ascii="宋体" w:hAnsi="宋体" w:eastAsia="宋体" w:cs="宋体"/>
                <w:b w:val="0"/>
                <w:bCs w:val="0"/>
                <w:spacing w:val="-2"/>
                <w:sz w:val="24"/>
                <w:szCs w:val="24"/>
                <w:lang w:val="en-US" w:eastAsia="zh-CN"/>
              </w:rPr>
              <w:t>/千瓦时</w:t>
            </w:r>
            <w:r>
              <w:rPr>
                <w:rFonts w:hint="eastAsia" w:ascii="宋体" w:hAnsi="宋体" w:eastAsia="宋体" w:cs="宋体"/>
                <w:b w:val="0"/>
                <w:bCs w:val="0"/>
                <w:spacing w:val="-2"/>
                <w:sz w:val="24"/>
                <w:szCs w:val="24"/>
              </w:rPr>
              <w:t>）</w:t>
            </w:r>
          </w:p>
        </w:tc>
        <w:tc>
          <w:tcPr>
            <w:tcW w:w="861" w:type="pct"/>
            <w:vAlign w:val="center"/>
          </w:tcPr>
          <w:p w14:paraId="147CF1A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价格得分</w:t>
            </w:r>
          </w:p>
        </w:tc>
      </w:tr>
      <w:tr w14:paraId="4B6A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63" w:type="pct"/>
            <w:vAlign w:val="center"/>
          </w:tcPr>
          <w:p w14:paraId="3541206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062" w:type="pct"/>
            <w:vAlign w:val="center"/>
          </w:tcPr>
          <w:p w14:paraId="0318BD9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参评单位A</w:t>
            </w:r>
          </w:p>
        </w:tc>
        <w:tc>
          <w:tcPr>
            <w:tcW w:w="2612" w:type="pct"/>
            <w:vAlign w:val="center"/>
          </w:tcPr>
          <w:p w14:paraId="4571322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c>
          <w:tcPr>
            <w:tcW w:w="861" w:type="pct"/>
            <w:vAlign w:val="center"/>
          </w:tcPr>
          <w:p w14:paraId="20DE047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r>
      <w:tr w14:paraId="4366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63" w:type="pct"/>
            <w:vAlign w:val="center"/>
          </w:tcPr>
          <w:p w14:paraId="1377D44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1062" w:type="pct"/>
            <w:vAlign w:val="center"/>
          </w:tcPr>
          <w:p w14:paraId="1DBE8A9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参评单位B</w:t>
            </w:r>
          </w:p>
        </w:tc>
        <w:tc>
          <w:tcPr>
            <w:tcW w:w="2612" w:type="pct"/>
            <w:vAlign w:val="center"/>
          </w:tcPr>
          <w:p w14:paraId="50077F0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c>
          <w:tcPr>
            <w:tcW w:w="861" w:type="pct"/>
            <w:vAlign w:val="center"/>
          </w:tcPr>
          <w:p w14:paraId="7611A9B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r>
      <w:tr w14:paraId="20AB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63" w:type="pct"/>
            <w:vAlign w:val="center"/>
          </w:tcPr>
          <w:p w14:paraId="79DBCE6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1062" w:type="pct"/>
            <w:vAlign w:val="center"/>
          </w:tcPr>
          <w:p w14:paraId="342FD92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参评单位C</w:t>
            </w:r>
          </w:p>
        </w:tc>
        <w:tc>
          <w:tcPr>
            <w:tcW w:w="2612" w:type="pct"/>
            <w:vAlign w:val="center"/>
          </w:tcPr>
          <w:p w14:paraId="7FC3F40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c>
          <w:tcPr>
            <w:tcW w:w="861" w:type="pct"/>
            <w:vAlign w:val="center"/>
          </w:tcPr>
          <w:p w14:paraId="398AC6F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r>
      <w:tr w14:paraId="1535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463" w:type="pct"/>
            <w:vAlign w:val="center"/>
          </w:tcPr>
          <w:p w14:paraId="5267CAD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4</w:t>
            </w:r>
          </w:p>
        </w:tc>
        <w:tc>
          <w:tcPr>
            <w:tcW w:w="1062" w:type="pct"/>
            <w:vAlign w:val="center"/>
          </w:tcPr>
          <w:p w14:paraId="53DD4AA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pacing w:val="1"/>
                <w:position w:val="1"/>
                <w:sz w:val="24"/>
                <w:szCs w:val="24"/>
              </w:rPr>
              <w:t>......</w:t>
            </w:r>
          </w:p>
        </w:tc>
        <w:tc>
          <w:tcPr>
            <w:tcW w:w="2612" w:type="pct"/>
            <w:vAlign w:val="center"/>
          </w:tcPr>
          <w:p w14:paraId="1017C11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c>
          <w:tcPr>
            <w:tcW w:w="861" w:type="pct"/>
            <w:vAlign w:val="center"/>
          </w:tcPr>
          <w:p w14:paraId="279A574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宋体" w:hAnsi="宋体" w:eastAsia="宋体" w:cs="宋体"/>
                <w:b w:val="0"/>
                <w:bCs w:val="0"/>
                <w:sz w:val="24"/>
                <w:szCs w:val="24"/>
              </w:rPr>
            </w:pPr>
          </w:p>
        </w:tc>
      </w:tr>
      <w:tr w14:paraId="1126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000" w:type="pct"/>
            <w:gridSpan w:val="4"/>
            <w:vAlign w:val="center"/>
          </w:tcPr>
          <w:p w14:paraId="5B7F3BD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spacing w:val="9"/>
              </w:rPr>
            </w:pPr>
            <w:r>
              <w:rPr>
                <w:spacing w:val="9"/>
              </w:rPr>
              <w:t>说明：</w:t>
            </w:r>
          </w:p>
          <w:p w14:paraId="788F65E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spacing w:val="9"/>
                <w:lang w:eastAsia="zh-CN"/>
              </w:rPr>
            </w:pPr>
            <w:r>
              <w:rPr>
                <w:rFonts w:hint="eastAsia"/>
                <w:spacing w:val="9"/>
                <w:lang w:eastAsia="zh-CN"/>
              </w:rPr>
              <w:t>1.本项目价格上限价为372厘/千瓦时。</w:t>
            </w:r>
          </w:p>
          <w:p w14:paraId="45326ED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eastAsia"/>
                <w:spacing w:val="9"/>
                <w:lang w:eastAsia="zh-CN"/>
              </w:rPr>
            </w:pPr>
            <w:r>
              <w:rPr>
                <w:rFonts w:hint="eastAsia"/>
                <w:spacing w:val="9"/>
                <w:lang w:eastAsia="zh-CN"/>
              </w:rPr>
              <w:t>2.根据《广东电力市场2026年交易关键机制和参数的通知》规定，2026年广东电力市场零售交易下限价为372厘/千瓦时，报价低于此限价的，统一按照372厘/千瓦时进行处理。</w:t>
            </w:r>
          </w:p>
          <w:p w14:paraId="14C9D63C">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textAlignment w:val="auto"/>
              <w:rPr>
                <w:rFonts w:hint="default"/>
                <w:lang w:val="en-US"/>
              </w:rPr>
            </w:pPr>
            <w:r>
              <w:rPr>
                <w:rFonts w:hint="eastAsia"/>
                <w:spacing w:val="9"/>
                <w:lang w:eastAsia="zh-CN"/>
              </w:rPr>
              <w:t>3.当报价等于372厘/千瓦时时，对应得分为</w:t>
            </w:r>
            <w:r>
              <w:rPr>
                <w:rFonts w:hint="eastAsia"/>
                <w:spacing w:val="9"/>
                <w:lang w:val="en-US" w:eastAsia="zh-CN"/>
              </w:rPr>
              <w:t>40</w:t>
            </w:r>
            <w:r>
              <w:rPr>
                <w:rFonts w:hint="eastAsia"/>
                <w:spacing w:val="9"/>
                <w:lang w:eastAsia="zh-CN"/>
              </w:rPr>
              <w:t>分。</w:t>
            </w:r>
          </w:p>
        </w:tc>
      </w:tr>
    </w:tbl>
    <w:p w14:paraId="482A882B">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3"/>
          <w:sz w:val="24"/>
          <w:szCs w:val="24"/>
        </w:rPr>
      </w:pPr>
      <w:r>
        <w:rPr>
          <w:rFonts w:ascii="宋体" w:hAnsi="宋体" w:eastAsia="宋体" w:cs="宋体"/>
          <w:spacing w:val="-3"/>
          <w:sz w:val="24"/>
          <w:szCs w:val="24"/>
        </w:rPr>
        <w:t>注：上述表格可手写或打印，但不能涂改。</w:t>
      </w:r>
    </w:p>
    <w:p w14:paraId="1CDA9657">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3"/>
          <w:sz w:val="24"/>
          <w:szCs w:val="24"/>
        </w:rPr>
      </w:pPr>
    </w:p>
    <w:p w14:paraId="5CD44DDE">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1"/>
          <w:sz w:val="24"/>
          <w:szCs w:val="24"/>
        </w:rPr>
      </w:pPr>
      <w:r>
        <w:rPr>
          <w:rFonts w:hint="eastAsia" w:ascii="宋体" w:hAnsi="宋体" w:eastAsia="宋体" w:cs="宋体"/>
          <w:spacing w:val="-1"/>
          <w:sz w:val="24"/>
          <w:szCs w:val="24"/>
          <w:lang w:eastAsia="zh-CN"/>
        </w:rPr>
        <w:t>评选小组</w:t>
      </w:r>
      <w:r>
        <w:rPr>
          <w:rFonts w:ascii="宋体" w:hAnsi="宋体" w:eastAsia="宋体" w:cs="宋体"/>
          <w:spacing w:val="-1"/>
          <w:sz w:val="24"/>
          <w:szCs w:val="24"/>
        </w:rPr>
        <w:t>全体成员签名：</w:t>
      </w:r>
    </w:p>
    <w:p w14:paraId="4652C0B6">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1"/>
          <w:sz w:val="24"/>
          <w:szCs w:val="24"/>
        </w:rPr>
      </w:pPr>
    </w:p>
    <w:p w14:paraId="7D5B4F22">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pacing w:val="-1"/>
          <w:sz w:val="24"/>
          <w:szCs w:val="24"/>
        </w:rPr>
      </w:pPr>
    </w:p>
    <w:p w14:paraId="06C13A29">
      <w:pPr>
        <w:keepNext w:val="0"/>
        <w:keepLines w:val="0"/>
        <w:pageBreakBefore w:val="0"/>
        <w:widowControl w:val="0"/>
        <w:kinsoku/>
        <w:wordWrap/>
        <w:overflowPunct/>
        <w:topLinePunct w:val="0"/>
        <w:autoSpaceDE/>
        <w:autoSpaceDN/>
        <w:bidi w:val="0"/>
        <w:adjustRightInd/>
        <w:snapToGrid/>
        <w:spacing w:line="240" w:lineRule="auto"/>
        <w:ind w:left="0" w:right="0" w:rightChars="0"/>
        <w:textAlignment w:val="auto"/>
        <w:rPr>
          <w:rFonts w:ascii="宋体" w:hAnsi="宋体" w:eastAsia="宋体" w:cs="宋体"/>
          <w:sz w:val="24"/>
          <w:szCs w:val="24"/>
        </w:rPr>
      </w:pPr>
      <w:r>
        <w:rPr>
          <w:rFonts w:ascii="宋体" w:hAnsi="宋体" w:eastAsia="宋体" w:cs="宋体"/>
          <w:spacing w:val="-2"/>
          <w:sz w:val="24"/>
          <w:szCs w:val="24"/>
        </w:rPr>
        <w:t>评审日期：</w:t>
      </w:r>
    </w:p>
    <w:p w14:paraId="4C28FB34">
      <w:pPr>
        <w:keepNext w:val="0"/>
        <w:keepLines w:val="0"/>
        <w:pageBreakBefore w:val="0"/>
        <w:widowControl w:val="0"/>
        <w:numPr>
          <w:ilvl w:val="0"/>
          <w:numId w:val="0"/>
        </w:numPr>
        <w:kinsoku/>
        <w:wordWrap/>
        <w:overflowPunct/>
        <w:topLinePunct w:val="0"/>
        <w:autoSpaceDE/>
        <w:autoSpaceDN/>
        <w:bidi w:val="0"/>
        <w:adjustRightInd/>
        <w:snapToGrid/>
        <w:spacing w:line="460" w:lineRule="atLeast"/>
        <w:textAlignment w:val="auto"/>
        <w:rPr>
          <w:rFonts w:hint="eastAsia" w:ascii="宋体" w:hAnsi="宋体" w:eastAsia="宋体" w:cs="宋体"/>
          <w:b/>
          <w:bCs/>
          <w:sz w:val="24"/>
          <w:szCs w:val="24"/>
          <w:highlight w:val="none"/>
          <w:lang w:eastAsia="zh-CN"/>
        </w:rPr>
      </w:pPr>
    </w:p>
    <w:p w14:paraId="105A6E6F">
      <w:pPr>
        <w:keepNext w:val="0"/>
        <w:keepLines w:val="0"/>
        <w:pageBreakBefore w:val="0"/>
        <w:widowControl w:val="0"/>
        <w:numPr>
          <w:ilvl w:val="0"/>
          <w:numId w:val="15"/>
        </w:numPr>
        <w:kinsoku/>
        <w:wordWrap/>
        <w:overflowPunct/>
        <w:topLinePunct w:val="0"/>
        <w:autoSpaceDE/>
        <w:autoSpaceDN/>
        <w:bidi w:val="0"/>
        <w:adjustRightInd/>
        <w:snapToGrid/>
        <w:spacing w:line="460" w:lineRule="atLeast"/>
        <w:ind w:left="0" w:leftChars="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评审结果汇总表</w:t>
      </w:r>
    </w:p>
    <w:p w14:paraId="68DDE90E">
      <w:pPr>
        <w:spacing w:before="140" w:line="224" w:lineRule="auto"/>
        <w:ind w:left="3057"/>
      </w:pPr>
      <w:r>
        <w:rPr>
          <w:rFonts w:ascii="宋体" w:hAnsi="宋体" w:eastAsia="宋体" w:cs="宋体"/>
          <w:b/>
          <w:bCs/>
          <w:spacing w:val="4"/>
          <w:sz w:val="43"/>
          <w:szCs w:val="43"/>
        </w:rPr>
        <w:t>评审结果汇总表</w:t>
      </w:r>
    </w:p>
    <w:tbl>
      <w:tblPr>
        <w:tblStyle w:val="26"/>
        <w:tblW w:w="917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3658"/>
        <w:gridCol w:w="990"/>
        <w:gridCol w:w="1049"/>
        <w:gridCol w:w="750"/>
        <w:gridCol w:w="1181"/>
        <w:gridCol w:w="827"/>
      </w:tblGrid>
      <w:tr w14:paraId="39776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blHeader/>
        </w:trPr>
        <w:tc>
          <w:tcPr>
            <w:tcW w:w="717" w:type="dxa"/>
            <w:vAlign w:val="center"/>
          </w:tcPr>
          <w:p w14:paraId="7F23231C">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序号</w:t>
            </w:r>
          </w:p>
        </w:tc>
        <w:tc>
          <w:tcPr>
            <w:tcW w:w="3658" w:type="dxa"/>
            <w:vAlign w:val="center"/>
          </w:tcPr>
          <w:p w14:paraId="5143FA7A">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参评单位</w:t>
            </w:r>
          </w:p>
        </w:tc>
        <w:tc>
          <w:tcPr>
            <w:tcW w:w="990" w:type="dxa"/>
            <w:vAlign w:val="center"/>
          </w:tcPr>
          <w:p w14:paraId="2657D516">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资格</w:t>
            </w:r>
            <w:r>
              <w:rPr>
                <w:rFonts w:hint="default"/>
                <w:b w:val="0"/>
                <w:bCs w:val="0"/>
                <w:spacing w:val="0"/>
                <w:sz w:val="24"/>
                <w:szCs w:val="24"/>
                <w:lang w:eastAsia="zh-CN"/>
              </w:rPr>
              <w:t>审查</w:t>
            </w:r>
            <w:r>
              <w:rPr>
                <w:b w:val="0"/>
                <w:bCs w:val="0"/>
                <w:spacing w:val="0"/>
                <w:sz w:val="24"/>
                <w:szCs w:val="24"/>
              </w:rPr>
              <w:t>情况</w:t>
            </w:r>
          </w:p>
        </w:tc>
        <w:tc>
          <w:tcPr>
            <w:tcW w:w="1049" w:type="dxa"/>
            <w:vAlign w:val="center"/>
          </w:tcPr>
          <w:p w14:paraId="47023B3D">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报价（</w:t>
            </w:r>
            <w:r>
              <w:rPr>
                <w:rFonts w:hint="default"/>
                <w:b w:val="0"/>
                <w:bCs w:val="0"/>
                <w:spacing w:val="0"/>
                <w:sz w:val="24"/>
                <w:szCs w:val="24"/>
                <w:lang w:eastAsia="zh-CN"/>
              </w:rPr>
              <w:t>厘</w:t>
            </w:r>
            <w:r>
              <w:rPr>
                <w:rFonts w:hint="default"/>
                <w:b w:val="0"/>
                <w:bCs w:val="0"/>
                <w:spacing w:val="0"/>
                <w:sz w:val="24"/>
                <w:szCs w:val="24"/>
                <w:lang w:val="en-US" w:eastAsia="zh-CN"/>
              </w:rPr>
              <w:t>/千瓦时</w:t>
            </w:r>
            <w:r>
              <w:rPr>
                <w:b w:val="0"/>
                <w:bCs w:val="0"/>
                <w:spacing w:val="0"/>
                <w:sz w:val="24"/>
                <w:szCs w:val="24"/>
              </w:rPr>
              <w:t>）</w:t>
            </w:r>
          </w:p>
        </w:tc>
        <w:tc>
          <w:tcPr>
            <w:tcW w:w="750" w:type="dxa"/>
            <w:vAlign w:val="center"/>
          </w:tcPr>
          <w:p w14:paraId="55D698FA">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价格</w:t>
            </w:r>
          </w:p>
          <w:p w14:paraId="0EDE1DB7">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得分</w:t>
            </w:r>
          </w:p>
        </w:tc>
        <w:tc>
          <w:tcPr>
            <w:tcW w:w="1181" w:type="dxa"/>
            <w:vAlign w:val="center"/>
          </w:tcPr>
          <w:p w14:paraId="672D044D">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技术商务</w:t>
            </w:r>
          </w:p>
          <w:p w14:paraId="67FC85D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平均得分</w:t>
            </w:r>
          </w:p>
        </w:tc>
        <w:tc>
          <w:tcPr>
            <w:tcW w:w="827" w:type="dxa"/>
            <w:vAlign w:val="center"/>
          </w:tcPr>
          <w:p w14:paraId="6DB2BBB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结果</w:t>
            </w:r>
          </w:p>
          <w:p w14:paraId="019ECB69">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b w:val="0"/>
                <w:bCs w:val="0"/>
                <w:spacing w:val="0"/>
                <w:sz w:val="24"/>
                <w:szCs w:val="24"/>
              </w:rPr>
              <w:t>排名</w:t>
            </w:r>
          </w:p>
        </w:tc>
      </w:tr>
      <w:tr w14:paraId="0384F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vAlign w:val="center"/>
          </w:tcPr>
          <w:p w14:paraId="6411455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ascii="Times New Roman" w:hAnsi="Times New Roman" w:eastAsia="宋体" w:cs="宋体"/>
                <w:b w:val="0"/>
                <w:bCs w:val="0"/>
                <w:sz w:val="24"/>
                <w:szCs w:val="24"/>
              </w:rPr>
              <w:t>1</w:t>
            </w:r>
          </w:p>
        </w:tc>
        <w:tc>
          <w:tcPr>
            <w:tcW w:w="3658" w:type="dxa"/>
            <w:vAlign w:val="center"/>
          </w:tcPr>
          <w:p w14:paraId="4791CEDC">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hint="default"/>
                <w:b w:val="0"/>
                <w:bCs w:val="0"/>
                <w:spacing w:val="0"/>
                <w:sz w:val="24"/>
                <w:szCs w:val="24"/>
                <w:lang w:eastAsia="zh-CN"/>
              </w:rPr>
              <w:t>参评单位</w:t>
            </w:r>
            <w:r>
              <w:rPr>
                <w:rFonts w:ascii="Times New Roman" w:hAnsi="Times New Roman" w:eastAsia="宋体" w:cs="宋体"/>
                <w:b w:val="0"/>
                <w:bCs w:val="0"/>
                <w:spacing w:val="0"/>
                <w:sz w:val="24"/>
                <w:szCs w:val="24"/>
              </w:rPr>
              <w:t>A</w:t>
            </w:r>
          </w:p>
        </w:tc>
        <w:tc>
          <w:tcPr>
            <w:tcW w:w="990" w:type="dxa"/>
            <w:vAlign w:val="center"/>
          </w:tcPr>
          <w:p w14:paraId="49917FF4">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1049" w:type="dxa"/>
            <w:vAlign w:val="center"/>
          </w:tcPr>
          <w:p w14:paraId="7017535B">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750" w:type="dxa"/>
            <w:vAlign w:val="center"/>
          </w:tcPr>
          <w:p w14:paraId="4A5DB212">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1181" w:type="dxa"/>
            <w:vAlign w:val="center"/>
          </w:tcPr>
          <w:p w14:paraId="0ABC8A54">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827" w:type="dxa"/>
            <w:vAlign w:val="center"/>
          </w:tcPr>
          <w:p w14:paraId="33ED1D0E">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r>
      <w:tr w14:paraId="16DC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vAlign w:val="center"/>
          </w:tcPr>
          <w:p w14:paraId="2172BFF2">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ascii="Times New Roman" w:hAnsi="Times New Roman" w:eastAsia="宋体" w:cs="宋体"/>
                <w:b w:val="0"/>
                <w:bCs w:val="0"/>
                <w:sz w:val="24"/>
                <w:szCs w:val="24"/>
              </w:rPr>
              <w:t>2</w:t>
            </w:r>
          </w:p>
        </w:tc>
        <w:tc>
          <w:tcPr>
            <w:tcW w:w="3658" w:type="dxa"/>
            <w:vAlign w:val="center"/>
          </w:tcPr>
          <w:p w14:paraId="086BCFB4">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hint="default"/>
                <w:b w:val="0"/>
                <w:bCs w:val="0"/>
                <w:spacing w:val="0"/>
                <w:sz w:val="24"/>
                <w:szCs w:val="24"/>
                <w:lang w:eastAsia="zh-CN"/>
              </w:rPr>
              <w:t>参评单位</w:t>
            </w:r>
            <w:r>
              <w:rPr>
                <w:rFonts w:ascii="Times New Roman" w:hAnsi="Times New Roman" w:eastAsia="宋体" w:cs="宋体"/>
                <w:b w:val="0"/>
                <w:bCs w:val="0"/>
                <w:spacing w:val="0"/>
                <w:sz w:val="24"/>
                <w:szCs w:val="24"/>
              </w:rPr>
              <w:t>B</w:t>
            </w:r>
          </w:p>
        </w:tc>
        <w:tc>
          <w:tcPr>
            <w:tcW w:w="990" w:type="dxa"/>
            <w:vAlign w:val="center"/>
          </w:tcPr>
          <w:p w14:paraId="67D0072D">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1049" w:type="dxa"/>
            <w:vAlign w:val="center"/>
          </w:tcPr>
          <w:p w14:paraId="03E23AF6">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750" w:type="dxa"/>
            <w:vAlign w:val="center"/>
          </w:tcPr>
          <w:p w14:paraId="1CCCD74B">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1181" w:type="dxa"/>
            <w:vAlign w:val="center"/>
          </w:tcPr>
          <w:p w14:paraId="2EC6A8C6">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827" w:type="dxa"/>
            <w:vAlign w:val="center"/>
          </w:tcPr>
          <w:p w14:paraId="2EBB7AF2">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r>
      <w:tr w14:paraId="0A610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7" w:type="dxa"/>
            <w:vAlign w:val="center"/>
          </w:tcPr>
          <w:p w14:paraId="095EBC69">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ascii="Times New Roman" w:hAnsi="Times New Roman" w:eastAsia="宋体" w:cs="宋体"/>
                <w:b w:val="0"/>
                <w:bCs w:val="0"/>
                <w:sz w:val="24"/>
                <w:szCs w:val="24"/>
              </w:rPr>
              <w:t>3</w:t>
            </w:r>
          </w:p>
        </w:tc>
        <w:tc>
          <w:tcPr>
            <w:tcW w:w="3658" w:type="dxa"/>
            <w:vAlign w:val="center"/>
          </w:tcPr>
          <w:p w14:paraId="13CE67B2">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hint="default"/>
                <w:b w:val="0"/>
                <w:bCs w:val="0"/>
                <w:spacing w:val="0"/>
                <w:sz w:val="24"/>
                <w:szCs w:val="24"/>
                <w:lang w:eastAsia="zh-CN"/>
              </w:rPr>
              <w:t>参评单位</w:t>
            </w:r>
            <w:r>
              <w:rPr>
                <w:rFonts w:ascii="Times New Roman" w:hAnsi="Times New Roman" w:eastAsia="宋体" w:cs="宋体"/>
                <w:b w:val="0"/>
                <w:bCs w:val="0"/>
                <w:spacing w:val="0"/>
                <w:sz w:val="24"/>
                <w:szCs w:val="24"/>
              </w:rPr>
              <w:t>C</w:t>
            </w:r>
          </w:p>
        </w:tc>
        <w:tc>
          <w:tcPr>
            <w:tcW w:w="990" w:type="dxa"/>
            <w:vAlign w:val="center"/>
          </w:tcPr>
          <w:p w14:paraId="5B7B0CDB">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1049" w:type="dxa"/>
            <w:vAlign w:val="center"/>
          </w:tcPr>
          <w:p w14:paraId="4C2F95E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750" w:type="dxa"/>
            <w:vAlign w:val="center"/>
          </w:tcPr>
          <w:p w14:paraId="4A236F93">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1181" w:type="dxa"/>
            <w:vAlign w:val="center"/>
          </w:tcPr>
          <w:p w14:paraId="7D5FA6D6">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827" w:type="dxa"/>
            <w:vAlign w:val="center"/>
          </w:tcPr>
          <w:p w14:paraId="3F9B9554">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r>
      <w:tr w14:paraId="15F88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7" w:type="dxa"/>
            <w:vAlign w:val="center"/>
          </w:tcPr>
          <w:p w14:paraId="10BD7CDC">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r>
              <w:rPr>
                <w:rFonts w:ascii="Times New Roman" w:hAnsi="Times New Roman" w:eastAsia="宋体" w:cs="宋体"/>
                <w:b w:val="0"/>
                <w:bCs w:val="0"/>
                <w:sz w:val="24"/>
                <w:szCs w:val="24"/>
              </w:rPr>
              <w:t>4</w:t>
            </w:r>
          </w:p>
        </w:tc>
        <w:tc>
          <w:tcPr>
            <w:tcW w:w="3658" w:type="dxa"/>
            <w:vAlign w:val="center"/>
          </w:tcPr>
          <w:p w14:paraId="6132E2B2">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lang w:val="en-US" w:eastAsia="zh-CN"/>
              </w:rPr>
            </w:pPr>
            <w:r>
              <w:rPr>
                <w:rFonts w:hint="default"/>
                <w:b w:val="0"/>
                <w:bCs w:val="0"/>
                <w:spacing w:val="0"/>
                <w:sz w:val="24"/>
                <w:szCs w:val="24"/>
                <w:lang w:eastAsia="zh-CN"/>
              </w:rPr>
              <w:t>参评单位</w:t>
            </w:r>
            <w:r>
              <w:rPr>
                <w:rFonts w:hint="eastAsia"/>
                <w:lang w:val="en-US" w:eastAsia="zh-CN"/>
              </w:rPr>
              <w:t>D</w:t>
            </w:r>
          </w:p>
        </w:tc>
        <w:tc>
          <w:tcPr>
            <w:tcW w:w="990" w:type="dxa"/>
            <w:vAlign w:val="center"/>
          </w:tcPr>
          <w:p w14:paraId="52ED41C9">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1049" w:type="dxa"/>
            <w:vAlign w:val="center"/>
          </w:tcPr>
          <w:p w14:paraId="06F7D27A">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750" w:type="dxa"/>
            <w:vAlign w:val="center"/>
          </w:tcPr>
          <w:p w14:paraId="3D1A8651">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1181" w:type="dxa"/>
            <w:vAlign w:val="center"/>
          </w:tcPr>
          <w:p w14:paraId="7DF1A82B">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827" w:type="dxa"/>
            <w:vAlign w:val="center"/>
          </w:tcPr>
          <w:p w14:paraId="3ED57AE5">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r>
      <w:tr w14:paraId="7CA7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7" w:type="dxa"/>
            <w:vAlign w:val="center"/>
          </w:tcPr>
          <w:p w14:paraId="73DC3C28">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宋体" w:cs="宋体"/>
                <w:b w:val="0"/>
                <w:bCs w:val="0"/>
                <w:sz w:val="24"/>
                <w:szCs w:val="24"/>
                <w:lang w:val="en-US" w:eastAsia="zh-CN"/>
              </w:rPr>
            </w:pPr>
            <w:r>
              <w:rPr>
                <w:rFonts w:hint="default" w:ascii="Times New Roman" w:hAnsi="Times New Roman" w:eastAsia="宋体" w:cs="宋体"/>
                <w:b w:val="0"/>
                <w:bCs w:val="0"/>
                <w:sz w:val="24"/>
                <w:szCs w:val="24"/>
                <w:lang w:val="en-US" w:eastAsia="zh-CN"/>
              </w:rPr>
              <w:t>5</w:t>
            </w:r>
          </w:p>
        </w:tc>
        <w:tc>
          <w:tcPr>
            <w:tcW w:w="3658" w:type="dxa"/>
            <w:vAlign w:val="center"/>
          </w:tcPr>
          <w:p w14:paraId="04CF452F">
            <w:pPr>
              <w:pStyle w:val="24"/>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hAnsi="Times New Roman" w:eastAsia="宋体" w:cs="宋体"/>
                <w:b w:val="0"/>
                <w:bCs w:val="0"/>
                <w:spacing w:val="0"/>
                <w:position w:val="0"/>
                <w:sz w:val="24"/>
                <w:szCs w:val="24"/>
              </w:rPr>
            </w:pPr>
            <w:r>
              <w:rPr>
                <w:rFonts w:ascii="Times New Roman" w:hAnsi="Times New Roman" w:eastAsia="宋体" w:cs="宋体"/>
                <w:b w:val="0"/>
                <w:bCs w:val="0"/>
                <w:spacing w:val="0"/>
                <w:position w:val="0"/>
                <w:sz w:val="24"/>
                <w:szCs w:val="24"/>
              </w:rPr>
              <w:t>......</w:t>
            </w:r>
          </w:p>
        </w:tc>
        <w:tc>
          <w:tcPr>
            <w:tcW w:w="990" w:type="dxa"/>
            <w:vAlign w:val="center"/>
          </w:tcPr>
          <w:p w14:paraId="2BA9094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1049" w:type="dxa"/>
            <w:vAlign w:val="center"/>
          </w:tcPr>
          <w:p w14:paraId="447173A0">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750" w:type="dxa"/>
            <w:vAlign w:val="center"/>
          </w:tcPr>
          <w:p w14:paraId="68719837">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1181" w:type="dxa"/>
            <w:vAlign w:val="center"/>
          </w:tcPr>
          <w:p w14:paraId="70D3318E">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c>
          <w:tcPr>
            <w:tcW w:w="827" w:type="dxa"/>
            <w:vAlign w:val="center"/>
          </w:tcPr>
          <w:p w14:paraId="52B18C9F">
            <w:pPr>
              <w:pStyle w:val="24"/>
              <w:keepNext w:val="0"/>
              <w:keepLines w:val="0"/>
              <w:pageBreakBefore w:val="0"/>
              <w:widowControl w:val="0"/>
              <w:kinsoku/>
              <w:wordWrap/>
              <w:overflowPunct/>
              <w:topLinePunct w:val="0"/>
              <w:autoSpaceDE/>
              <w:autoSpaceDN/>
              <w:bidi w:val="0"/>
              <w:adjustRightInd/>
              <w:snapToGrid/>
              <w:ind w:left="0" w:right="0"/>
              <w:jc w:val="center"/>
              <w:textAlignment w:val="auto"/>
            </w:pPr>
          </w:p>
        </w:tc>
      </w:tr>
      <w:tr w14:paraId="0C311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9172" w:type="dxa"/>
            <w:gridSpan w:val="7"/>
            <w:vAlign w:val="center"/>
          </w:tcPr>
          <w:p w14:paraId="4E6AD275">
            <w:pPr>
              <w:pStyle w:val="24"/>
              <w:keepNext w:val="0"/>
              <w:keepLines w:val="0"/>
              <w:pageBreakBefore w:val="0"/>
              <w:widowControl w:val="0"/>
              <w:kinsoku/>
              <w:wordWrap/>
              <w:overflowPunct/>
              <w:topLinePunct w:val="0"/>
              <w:autoSpaceDE/>
              <w:autoSpaceDN/>
              <w:bidi w:val="0"/>
              <w:adjustRightInd/>
              <w:snapToGrid/>
              <w:ind w:left="0" w:right="0"/>
              <w:jc w:val="left"/>
              <w:textAlignment w:val="auto"/>
            </w:pPr>
            <w:r>
              <w:rPr>
                <w:rFonts w:hint="eastAsia"/>
                <w:lang w:eastAsia="zh-CN"/>
              </w:rPr>
              <w:t>说明：根据《广东电力市场2026年交易关键机制和参数的通知》规定，2026年广东电力市场零售交易下限价为372厘/千瓦时，报价低于此限价的，统一按照372厘/千瓦时进行处理。</w:t>
            </w:r>
          </w:p>
        </w:tc>
      </w:tr>
    </w:tbl>
    <w:p w14:paraId="257B0EB2">
      <w:pPr>
        <w:spacing w:before="35" w:line="219" w:lineRule="auto"/>
        <w:ind w:left="543"/>
        <w:rPr>
          <w:rFonts w:ascii="宋体" w:hAnsi="宋体" w:eastAsia="宋体" w:cs="宋体"/>
          <w:b w:val="0"/>
          <w:bCs w:val="0"/>
          <w:sz w:val="24"/>
          <w:szCs w:val="24"/>
        </w:rPr>
      </w:pPr>
      <w:r>
        <w:rPr>
          <w:rFonts w:ascii="宋体" w:hAnsi="宋体" w:eastAsia="宋体" w:cs="宋体"/>
          <w:b w:val="0"/>
          <w:bCs w:val="0"/>
          <w:spacing w:val="-4"/>
          <w:sz w:val="24"/>
          <w:szCs w:val="24"/>
        </w:rPr>
        <w:t>注：1.资格</w:t>
      </w:r>
      <w:r>
        <w:rPr>
          <w:rFonts w:hint="eastAsia" w:ascii="宋体" w:hAnsi="宋体" w:eastAsia="宋体" w:cs="宋体"/>
          <w:b w:val="0"/>
          <w:bCs w:val="0"/>
          <w:spacing w:val="-4"/>
          <w:sz w:val="24"/>
          <w:szCs w:val="24"/>
          <w:lang w:eastAsia="zh-CN"/>
        </w:rPr>
        <w:t>审查</w:t>
      </w:r>
      <w:r>
        <w:rPr>
          <w:rFonts w:ascii="宋体" w:hAnsi="宋体" w:eastAsia="宋体" w:cs="宋体"/>
          <w:b w:val="0"/>
          <w:bCs w:val="0"/>
          <w:spacing w:val="-4"/>
          <w:sz w:val="24"/>
          <w:szCs w:val="24"/>
        </w:rPr>
        <w:t>情况填“通过”或“不通过”。</w:t>
      </w:r>
    </w:p>
    <w:p w14:paraId="2DE609BD">
      <w:pPr>
        <w:spacing w:before="27" w:line="219" w:lineRule="auto"/>
        <w:ind w:left="1026"/>
        <w:rPr>
          <w:rFonts w:ascii="宋体" w:hAnsi="宋体" w:eastAsia="宋体" w:cs="宋体"/>
          <w:b w:val="0"/>
          <w:bCs w:val="0"/>
          <w:sz w:val="24"/>
          <w:szCs w:val="24"/>
        </w:rPr>
      </w:pPr>
      <w:r>
        <w:rPr>
          <w:rFonts w:ascii="宋体" w:hAnsi="宋体" w:eastAsia="宋体" w:cs="宋体"/>
          <w:b w:val="0"/>
          <w:bCs w:val="0"/>
          <w:spacing w:val="-3"/>
          <w:sz w:val="24"/>
          <w:szCs w:val="24"/>
        </w:rPr>
        <w:t>2.上述表格可手写或打印，但不能涂改。</w:t>
      </w:r>
    </w:p>
    <w:p w14:paraId="4162A6E1">
      <w:pPr>
        <w:pStyle w:val="7"/>
        <w:spacing w:line="249" w:lineRule="auto"/>
      </w:pPr>
    </w:p>
    <w:p w14:paraId="37BCB340">
      <w:pPr>
        <w:spacing w:before="78" w:line="219" w:lineRule="auto"/>
        <w:ind w:left="543"/>
        <w:rPr>
          <w:rFonts w:ascii="宋体" w:hAnsi="宋体" w:eastAsia="宋体" w:cs="宋体"/>
          <w:spacing w:val="-1"/>
          <w:sz w:val="24"/>
          <w:szCs w:val="24"/>
        </w:rPr>
      </w:pPr>
      <w:r>
        <w:rPr>
          <w:rFonts w:hint="eastAsia" w:ascii="宋体" w:hAnsi="宋体" w:eastAsia="宋体" w:cs="宋体"/>
          <w:spacing w:val="-1"/>
          <w:sz w:val="24"/>
          <w:szCs w:val="24"/>
          <w:lang w:eastAsia="zh-CN"/>
        </w:rPr>
        <w:t>评选小组</w:t>
      </w:r>
      <w:r>
        <w:rPr>
          <w:rFonts w:ascii="宋体" w:hAnsi="宋体" w:eastAsia="宋体" w:cs="宋体"/>
          <w:spacing w:val="-1"/>
          <w:sz w:val="24"/>
          <w:szCs w:val="24"/>
        </w:rPr>
        <w:t>全体成员签名：</w:t>
      </w:r>
    </w:p>
    <w:p w14:paraId="18BE4BF3">
      <w:pPr>
        <w:spacing w:before="78" w:line="219" w:lineRule="auto"/>
        <w:ind w:left="543"/>
        <w:rPr>
          <w:rFonts w:ascii="宋体" w:hAnsi="宋体" w:eastAsia="宋体" w:cs="宋体"/>
          <w:spacing w:val="-1"/>
          <w:sz w:val="24"/>
          <w:szCs w:val="24"/>
        </w:rPr>
      </w:pPr>
    </w:p>
    <w:p w14:paraId="058CE88E">
      <w:pPr>
        <w:spacing w:before="78" w:line="219" w:lineRule="auto"/>
        <w:ind w:left="543"/>
        <w:rPr>
          <w:rFonts w:ascii="宋体" w:hAnsi="宋体" w:eastAsia="宋体" w:cs="宋体"/>
          <w:spacing w:val="-1"/>
          <w:sz w:val="24"/>
          <w:szCs w:val="24"/>
        </w:rPr>
      </w:pPr>
    </w:p>
    <w:p w14:paraId="5D746D2F">
      <w:pPr>
        <w:spacing w:before="78" w:line="219" w:lineRule="auto"/>
        <w:ind w:left="543"/>
        <w:rPr>
          <w:rFonts w:hint="eastAsia" w:ascii="宋体" w:hAnsi="宋体" w:eastAsia="宋体" w:cs="宋体"/>
          <w:sz w:val="24"/>
          <w:szCs w:val="24"/>
          <w:highlight w:val="none"/>
        </w:rPr>
      </w:pPr>
      <w:r>
        <w:rPr>
          <w:rFonts w:ascii="宋体" w:hAnsi="宋体" w:eastAsia="宋体" w:cs="宋体"/>
          <w:spacing w:val="-2"/>
          <w:sz w:val="24"/>
          <w:szCs w:val="24"/>
        </w:rPr>
        <w:t>评审日期：</w:t>
      </w:r>
    </w:p>
    <w:p w14:paraId="6B5885AA">
      <w:pPr>
        <w:pageBreakBefore w:val="0"/>
        <w:widowControl w:val="0"/>
        <w:kinsoku/>
        <w:wordWrap/>
        <w:overflowPunct/>
        <w:topLinePunct w:val="0"/>
        <w:autoSpaceDE/>
        <w:autoSpaceDN/>
        <w:bidi w:val="0"/>
        <w:adjustRightInd/>
        <w:spacing w:line="460" w:lineRule="atLeast"/>
        <w:jc w:val="both"/>
        <w:textAlignment w:val="auto"/>
        <w:rPr>
          <w:rFonts w:hint="eastAsia" w:ascii="宋体" w:hAnsi="宋体" w:cs="宋体"/>
          <w:b/>
          <w:bCs w:val="0"/>
          <w:sz w:val="24"/>
          <w:szCs w:val="24"/>
          <w:highlight w:val="none"/>
          <w:lang w:val="en-US" w:eastAsia="zh-CN"/>
        </w:rPr>
      </w:pPr>
      <w:bookmarkStart w:id="3" w:name="_Toc574"/>
      <w:r>
        <w:rPr>
          <w:rFonts w:hint="eastAsia" w:ascii="宋体" w:hAnsi="宋体" w:cs="宋体"/>
          <w:b/>
          <w:bCs w:val="0"/>
          <w:sz w:val="24"/>
          <w:szCs w:val="24"/>
          <w:highlight w:val="none"/>
          <w:lang w:val="en-US" w:eastAsia="zh-CN"/>
        </w:rPr>
        <w:br w:type="page"/>
      </w:r>
    </w:p>
    <w:bookmarkEnd w:id="3"/>
    <w:p w14:paraId="14185E53">
      <w:pPr>
        <w:rPr>
          <w:rFonts w:hint="eastAsia" w:ascii="宋体" w:hAnsi="宋体" w:eastAsia="宋体" w:cs="宋体"/>
          <w:b/>
          <w:bCs/>
          <w:kern w:val="44"/>
          <w:sz w:val="32"/>
          <w:szCs w:val="32"/>
          <w:highlight w:val="none"/>
        </w:rPr>
      </w:pPr>
    </w:p>
    <w:p w14:paraId="5510A801">
      <w:pPr>
        <w:pStyle w:val="7"/>
        <w:spacing w:after="0" w:line="360" w:lineRule="auto"/>
        <w:jc w:val="center"/>
        <w:outlineLvl w:val="9"/>
        <w:rPr>
          <w:rFonts w:hint="eastAsia" w:ascii="宋体" w:hAnsi="宋体" w:eastAsia="宋体" w:cs="宋体"/>
          <w:b/>
          <w:bCs/>
          <w:kern w:val="44"/>
          <w:sz w:val="32"/>
          <w:szCs w:val="32"/>
          <w:highlight w:val="none"/>
        </w:rPr>
      </w:pPr>
      <w:r>
        <w:rPr>
          <w:rFonts w:hint="eastAsia" w:ascii="宋体" w:hAnsi="宋体" w:eastAsia="宋体" w:cs="宋体"/>
          <w:b/>
          <w:bCs/>
          <w:kern w:val="44"/>
          <w:sz w:val="32"/>
          <w:szCs w:val="32"/>
          <w:highlight w:val="none"/>
        </w:rPr>
        <w:t>第四部分 参</w:t>
      </w:r>
      <w:r>
        <w:rPr>
          <w:rFonts w:hint="eastAsia" w:ascii="宋体" w:hAnsi="宋体" w:cs="宋体"/>
          <w:b/>
          <w:bCs/>
          <w:kern w:val="44"/>
          <w:sz w:val="32"/>
          <w:szCs w:val="32"/>
          <w:highlight w:val="none"/>
          <w:lang w:val="en-US" w:eastAsia="zh-CN"/>
        </w:rPr>
        <w:t>评</w:t>
      </w:r>
      <w:r>
        <w:rPr>
          <w:rFonts w:hint="eastAsia" w:ascii="宋体" w:hAnsi="宋体" w:eastAsia="宋体" w:cs="宋体"/>
          <w:b/>
          <w:bCs/>
          <w:kern w:val="44"/>
          <w:sz w:val="32"/>
          <w:szCs w:val="32"/>
          <w:highlight w:val="none"/>
        </w:rPr>
        <w:t>文件参考格式</w:t>
      </w:r>
    </w:p>
    <w:p w14:paraId="0BEDE687">
      <w:pPr>
        <w:pStyle w:val="7"/>
        <w:spacing w:after="0" w:line="360" w:lineRule="auto"/>
        <w:ind w:firstLine="480" w:firstLineChars="200"/>
        <w:jc w:val="left"/>
        <w:rPr>
          <w:rFonts w:hint="eastAsia" w:ascii="宋体" w:hAnsi="宋体" w:eastAsia="宋体" w:cs="宋体"/>
          <w:sz w:val="24"/>
          <w:szCs w:val="24"/>
          <w:highlight w:val="yellow"/>
        </w:rPr>
      </w:pPr>
      <w:r>
        <w:rPr>
          <w:rFonts w:hint="eastAsia" w:ascii="宋体" w:hAnsi="宋体" w:eastAsia="宋体" w:cs="宋体"/>
          <w:sz w:val="24"/>
          <w:szCs w:val="24"/>
          <w:highlight w:val="yellow"/>
        </w:rPr>
        <w:t>（特别说明：</w:t>
      </w:r>
      <w:r>
        <w:rPr>
          <w:rFonts w:hint="eastAsia" w:ascii="宋体" w:hAnsi="宋体" w:cs="宋体"/>
          <w:sz w:val="24"/>
          <w:szCs w:val="24"/>
          <w:highlight w:val="yellow"/>
          <w:lang w:val="en-US" w:eastAsia="zh-CN"/>
        </w:rPr>
        <w:t>附件一至六须按指定格式填报，其他证明文件可由参评单位</w:t>
      </w:r>
      <w:r>
        <w:rPr>
          <w:rFonts w:hint="eastAsia" w:ascii="宋体" w:hAnsi="宋体" w:eastAsia="宋体" w:cs="宋体"/>
          <w:sz w:val="24"/>
          <w:szCs w:val="24"/>
          <w:highlight w:val="yellow"/>
        </w:rPr>
        <w:t>自行设计排版。）</w:t>
      </w:r>
    </w:p>
    <w:p w14:paraId="34B24AA3">
      <w:pPr>
        <w:pStyle w:val="7"/>
        <w:spacing w:after="0" w:line="360" w:lineRule="auto"/>
        <w:jc w:val="center"/>
        <w:rPr>
          <w:rFonts w:hint="eastAsia" w:ascii="宋体" w:hAnsi="宋体" w:eastAsia="宋体" w:cs="宋体"/>
          <w:sz w:val="24"/>
          <w:szCs w:val="24"/>
          <w:highlight w:val="none"/>
        </w:rPr>
      </w:pPr>
    </w:p>
    <w:tbl>
      <w:tblPr>
        <w:tblStyle w:val="18"/>
        <w:tblW w:w="0" w:type="auto"/>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14:paraId="74B4A528">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7853" w:hRule="atLeast"/>
          <w:jc w:val="center"/>
        </w:trPr>
        <w:tc>
          <w:tcPr>
            <w:tcW w:w="9329" w:type="dxa"/>
            <w:noWrap w:val="0"/>
            <w:vAlign w:val="top"/>
          </w:tcPr>
          <w:p w14:paraId="0C5857B0">
            <w:pPr>
              <w:spacing w:line="360" w:lineRule="auto"/>
              <w:rPr>
                <w:rFonts w:hint="eastAsia" w:hAnsi="宋体" w:cs="仿宋"/>
                <w:szCs w:val="24"/>
                <w:highlight w:val="none"/>
              </w:rPr>
            </w:pPr>
          </w:p>
          <w:p w14:paraId="4E8553F4">
            <w:pPr>
              <w:spacing w:line="360" w:lineRule="auto"/>
              <w:jc w:val="center"/>
              <w:rPr>
                <w:rFonts w:hint="eastAsia" w:hAnsi="宋体" w:cs="仿宋"/>
                <w:bCs/>
                <w:sz w:val="32"/>
                <w:szCs w:val="32"/>
                <w:highlight w:val="none"/>
              </w:rPr>
            </w:pPr>
            <w:r>
              <w:rPr>
                <w:rFonts w:hint="eastAsia" w:hAnsi="宋体" w:cs="仿宋"/>
                <w:bCs/>
                <w:sz w:val="32"/>
                <w:szCs w:val="32"/>
                <w:highlight w:val="none"/>
              </w:rPr>
              <w:t>致：中山市公共交通运输集团有限公司</w:t>
            </w:r>
          </w:p>
          <w:p w14:paraId="6BF291F7">
            <w:pPr>
              <w:spacing w:line="360" w:lineRule="auto"/>
              <w:rPr>
                <w:rFonts w:hint="eastAsia" w:hAnsi="宋体" w:cs="仿宋"/>
                <w:bCs/>
                <w:szCs w:val="24"/>
                <w:highlight w:val="none"/>
                <w:lang w:val="en-GB"/>
              </w:rPr>
            </w:pPr>
          </w:p>
          <w:p w14:paraId="4BF09FED">
            <w:pPr>
              <w:spacing w:line="360" w:lineRule="auto"/>
              <w:jc w:val="center"/>
              <w:rPr>
                <w:rFonts w:hint="eastAsia" w:hAnsi="宋体" w:cs="仿宋"/>
                <w:b/>
                <w:bCs/>
                <w:sz w:val="84"/>
                <w:szCs w:val="84"/>
                <w:highlight w:val="none"/>
              </w:rPr>
            </w:pPr>
            <w:r>
              <w:rPr>
                <w:rFonts w:hint="eastAsia" w:hAnsi="宋体" w:cs="仿宋"/>
                <w:b/>
                <w:bCs/>
                <w:sz w:val="84"/>
                <w:szCs w:val="84"/>
                <w:highlight w:val="none"/>
              </w:rPr>
              <w:t>参</w:t>
            </w:r>
            <w:r>
              <w:rPr>
                <w:rFonts w:hint="eastAsia" w:hAnsi="宋体" w:cs="仿宋"/>
                <w:b/>
                <w:bCs/>
                <w:sz w:val="84"/>
                <w:szCs w:val="84"/>
                <w:highlight w:val="none"/>
                <w:lang w:val="en-US" w:eastAsia="zh-CN"/>
              </w:rPr>
              <w:t>评</w:t>
            </w:r>
            <w:r>
              <w:rPr>
                <w:rFonts w:hint="eastAsia" w:hAnsi="宋体" w:cs="仿宋"/>
                <w:b/>
                <w:bCs/>
                <w:sz w:val="84"/>
                <w:szCs w:val="84"/>
                <w:highlight w:val="none"/>
              </w:rPr>
              <w:t>文件</w:t>
            </w:r>
          </w:p>
          <w:p w14:paraId="472E98BE">
            <w:pPr>
              <w:spacing w:line="360" w:lineRule="auto"/>
              <w:rPr>
                <w:rFonts w:hint="eastAsia" w:hAnsi="宋体" w:cs="仿宋"/>
                <w:bCs/>
                <w:szCs w:val="24"/>
                <w:highlight w:val="none"/>
                <w:lang w:val="en-GB"/>
              </w:rPr>
            </w:pPr>
          </w:p>
          <w:p w14:paraId="3E2C7B00">
            <w:pPr>
              <w:spacing w:line="360" w:lineRule="auto"/>
              <w:jc w:val="center"/>
              <w:rPr>
                <w:rFonts w:hint="eastAsia" w:hAnsi="宋体" w:cs="仿宋"/>
                <w:bCs/>
                <w:szCs w:val="24"/>
                <w:highlight w:val="none"/>
              </w:rPr>
            </w:pPr>
            <w:r>
              <w:rPr>
                <w:rFonts w:hint="eastAsia" w:hAnsi="宋体" w:cs="仿宋"/>
                <w:bCs/>
                <w:szCs w:val="24"/>
                <w:highlight w:val="none"/>
                <w:lang w:val="en-GB"/>
              </w:rPr>
              <w:t>密封内容：</w:t>
            </w:r>
            <w:r>
              <w:rPr>
                <w:rFonts w:hint="eastAsia" w:hAnsi="宋体" w:cs="仿宋"/>
                <w:szCs w:val="24"/>
                <w:highlight w:val="none"/>
              </w:rPr>
              <w:t>1正本</w:t>
            </w:r>
            <w:r>
              <w:rPr>
                <w:rFonts w:hint="eastAsia" w:hAnsi="宋体" w:cs="仿宋"/>
                <w:szCs w:val="24"/>
                <w:highlight w:val="none"/>
                <w:lang w:eastAsia="zh-CN"/>
              </w:rPr>
              <w:t>，</w:t>
            </w:r>
            <w:r>
              <w:rPr>
                <w:rFonts w:hint="eastAsia" w:hAnsi="宋体" w:cs="仿宋"/>
                <w:szCs w:val="24"/>
                <w:highlight w:val="none"/>
                <w:lang w:val="en-US" w:eastAsia="zh-CN"/>
              </w:rPr>
              <w:t>1副本</w:t>
            </w:r>
            <w:r>
              <w:rPr>
                <w:rFonts w:hint="eastAsia" w:hAnsi="宋体" w:cs="仿宋"/>
                <w:szCs w:val="24"/>
                <w:highlight w:val="none"/>
              </w:rPr>
              <w:t>。</w:t>
            </w:r>
          </w:p>
          <w:p w14:paraId="719B028D">
            <w:pPr>
              <w:spacing w:line="360" w:lineRule="auto"/>
              <w:jc w:val="center"/>
              <w:rPr>
                <w:rFonts w:hint="eastAsia" w:hAnsi="宋体" w:cs="仿宋"/>
                <w:szCs w:val="24"/>
                <w:highlight w:val="none"/>
                <w:lang w:val="en-GB"/>
              </w:rPr>
            </w:pPr>
          </w:p>
          <w:p w14:paraId="58A51A0B">
            <w:pPr>
              <w:spacing w:line="360" w:lineRule="auto"/>
              <w:ind w:firstLine="2640" w:firstLineChars="1100"/>
              <w:jc w:val="both"/>
              <w:rPr>
                <w:rFonts w:hint="eastAsia" w:hAnsi="宋体" w:cs="仿宋"/>
                <w:highlight w:val="none"/>
                <w:u w:val="single"/>
                <w:lang w:val="en-GB"/>
              </w:rPr>
            </w:pPr>
            <w:r>
              <w:rPr>
                <w:rFonts w:hint="eastAsia" w:hAnsi="宋体" w:cs="仿宋"/>
                <w:bCs/>
                <w:szCs w:val="24"/>
                <w:highlight w:val="none"/>
              </w:rPr>
              <w:t>项目名称</w:t>
            </w:r>
            <w:r>
              <w:rPr>
                <w:rFonts w:hint="eastAsia" w:hAnsi="宋体" w:cs="仿宋"/>
                <w:szCs w:val="24"/>
                <w:highlight w:val="none"/>
                <w:lang w:val="en-GB"/>
              </w:rPr>
              <w:t>：</w:t>
            </w:r>
            <w:r>
              <w:rPr>
                <w:rFonts w:hint="eastAsia" w:hAnsi="宋体" w:cs="仿宋"/>
                <w:highlight w:val="none"/>
                <w:u w:val="single"/>
                <w:lang w:val="en-GB"/>
              </w:rPr>
              <w:t>中山市公共交通运输集团有限公司</w:t>
            </w:r>
          </w:p>
          <w:p w14:paraId="0DFA7122">
            <w:pPr>
              <w:spacing w:line="360" w:lineRule="auto"/>
              <w:jc w:val="center"/>
              <w:rPr>
                <w:rFonts w:hint="eastAsia" w:hAnsi="宋体" w:eastAsia="宋体" w:cs="仿宋"/>
                <w:szCs w:val="24"/>
                <w:highlight w:val="none"/>
                <w:lang w:val="en-US" w:eastAsia="zh-CN"/>
              </w:rPr>
            </w:pPr>
            <w:r>
              <w:rPr>
                <w:rFonts w:hint="eastAsia" w:hAnsi="宋体" w:cs="仿宋"/>
                <w:b w:val="0"/>
                <w:bCs w:val="0"/>
                <w:i w:val="0"/>
                <w:caps w:val="0"/>
                <w:color w:val="auto"/>
                <w:spacing w:val="0"/>
                <w:kern w:val="2"/>
                <w:sz w:val="21"/>
                <w:szCs w:val="24"/>
                <w:highlight w:val="none"/>
                <w:u w:val="single"/>
                <w:shd w:val="clear" w:color="auto" w:fill="auto"/>
                <w:lang w:val="en-US" w:eastAsia="zh-CN"/>
              </w:rPr>
              <w:t>2026</w:t>
            </w:r>
            <w:r>
              <w:rPr>
                <w:rFonts w:hint="eastAsia" w:ascii="Times New Roman" w:hAnsi="宋体" w:eastAsia="宋体" w:cs="仿宋"/>
                <w:b w:val="0"/>
                <w:bCs w:val="0"/>
                <w:i w:val="0"/>
                <w:caps w:val="0"/>
                <w:color w:val="auto"/>
                <w:spacing w:val="0"/>
                <w:kern w:val="2"/>
                <w:sz w:val="21"/>
                <w:szCs w:val="24"/>
                <w:highlight w:val="none"/>
                <w:u w:val="single"/>
                <w:shd w:val="clear" w:color="auto" w:fill="auto"/>
                <w:lang w:val="en-US" w:eastAsia="zh-CN"/>
              </w:rPr>
              <w:t>年电力市场交易售电代理项目</w:t>
            </w:r>
          </w:p>
          <w:p w14:paraId="735523BC">
            <w:pPr>
              <w:spacing w:line="360" w:lineRule="auto"/>
              <w:jc w:val="center"/>
              <w:rPr>
                <w:rFonts w:hint="eastAsia" w:hAnsi="宋体" w:cs="仿宋"/>
                <w:szCs w:val="24"/>
                <w:highlight w:val="none"/>
                <w:lang w:val="en-GB"/>
              </w:rPr>
            </w:pPr>
          </w:p>
          <w:p w14:paraId="2F2D9AF3">
            <w:pPr>
              <w:spacing w:line="360" w:lineRule="auto"/>
              <w:jc w:val="center"/>
              <w:rPr>
                <w:rFonts w:hint="eastAsia" w:hAnsi="宋体" w:cs="仿宋"/>
                <w:bCs/>
                <w:szCs w:val="24"/>
                <w:highlight w:val="none"/>
              </w:rPr>
            </w:pPr>
            <w:r>
              <w:rPr>
                <w:rFonts w:hint="eastAsia" w:hAnsi="宋体" w:cs="仿宋"/>
                <w:bCs/>
                <w:szCs w:val="24"/>
                <w:highlight w:val="none"/>
              </w:rPr>
              <w:t>在</w:t>
            </w:r>
            <w:r>
              <w:rPr>
                <w:rFonts w:hint="eastAsia" w:hAnsi="宋体" w:cs="仿宋"/>
                <w:bCs/>
                <w:szCs w:val="24"/>
                <w:highlight w:val="none"/>
                <w:u w:val="single"/>
                <w:lang w:val="en-US" w:eastAsia="zh-CN"/>
              </w:rPr>
              <w:t>2025</w:t>
            </w:r>
            <w:r>
              <w:rPr>
                <w:rFonts w:hint="eastAsia" w:hAnsi="宋体" w:cs="仿宋"/>
                <w:bCs/>
                <w:szCs w:val="24"/>
                <w:highlight w:val="none"/>
              </w:rPr>
              <w:t>年</w:t>
            </w:r>
            <w:r>
              <w:rPr>
                <w:rFonts w:hint="eastAsia" w:hAnsi="宋体" w:cs="仿宋"/>
                <w:bCs/>
                <w:szCs w:val="24"/>
                <w:highlight w:val="none"/>
                <w:u w:val="single"/>
                <w:lang w:val="en-US" w:eastAsia="zh-CN"/>
              </w:rPr>
              <w:t>12</w:t>
            </w:r>
            <w:r>
              <w:rPr>
                <w:rFonts w:hint="eastAsia" w:hAnsi="宋体" w:cs="仿宋"/>
                <w:bCs/>
                <w:szCs w:val="24"/>
                <w:highlight w:val="none"/>
              </w:rPr>
              <w:t>月</w:t>
            </w:r>
            <w:r>
              <w:rPr>
                <w:rFonts w:hint="eastAsia" w:hAnsi="宋体" w:cs="仿宋"/>
                <w:bCs/>
                <w:szCs w:val="24"/>
                <w:highlight w:val="none"/>
                <w:u w:val="single"/>
                <w:lang w:val="en-US" w:eastAsia="zh-CN"/>
              </w:rPr>
              <w:t>10</w:t>
            </w:r>
            <w:r>
              <w:rPr>
                <w:rFonts w:hint="eastAsia" w:hAnsi="宋体" w:cs="仿宋"/>
                <w:bCs/>
                <w:szCs w:val="24"/>
                <w:highlight w:val="none"/>
              </w:rPr>
              <w:t>日</w:t>
            </w:r>
            <w:r>
              <w:rPr>
                <w:rFonts w:hint="eastAsia" w:hAnsi="宋体" w:cs="仿宋"/>
                <w:bCs/>
                <w:szCs w:val="24"/>
                <w:highlight w:val="none"/>
                <w:u w:val="single"/>
                <w:lang w:val="en-US" w:eastAsia="zh-CN"/>
              </w:rPr>
              <w:t>15</w:t>
            </w:r>
            <w:r>
              <w:rPr>
                <w:rFonts w:hint="eastAsia" w:hAnsi="宋体" w:cs="仿宋"/>
                <w:bCs/>
                <w:szCs w:val="24"/>
                <w:highlight w:val="none"/>
              </w:rPr>
              <w:t>时之前不得启封。</w:t>
            </w:r>
          </w:p>
          <w:p w14:paraId="3B81874D">
            <w:pPr>
              <w:spacing w:line="360" w:lineRule="auto"/>
              <w:jc w:val="center"/>
              <w:rPr>
                <w:rFonts w:hint="eastAsia" w:hAnsi="宋体" w:cs="仿宋"/>
                <w:bCs/>
                <w:szCs w:val="24"/>
                <w:highlight w:val="none"/>
              </w:rPr>
            </w:pPr>
          </w:p>
          <w:p w14:paraId="1E78653C">
            <w:pPr>
              <w:spacing w:line="360" w:lineRule="auto"/>
              <w:jc w:val="center"/>
              <w:rPr>
                <w:rFonts w:hint="eastAsia" w:hAnsi="宋体" w:cs="仿宋"/>
                <w:bCs/>
                <w:szCs w:val="24"/>
                <w:highlight w:val="none"/>
              </w:rPr>
            </w:pPr>
            <w:r>
              <w:rPr>
                <w:rFonts w:hint="eastAsia" w:hAnsi="宋体" w:cs="仿宋"/>
                <w:bCs/>
                <w:szCs w:val="24"/>
                <w:highlight w:val="none"/>
              </w:rPr>
              <w:t>单位名称：</w:t>
            </w:r>
            <w:r>
              <w:rPr>
                <w:rFonts w:hint="eastAsia" w:hAnsi="宋体" w:cs="仿宋"/>
                <w:bCs/>
                <w:szCs w:val="24"/>
                <w:highlight w:val="none"/>
                <w:u w:val="none"/>
                <w:lang w:val="en-US" w:eastAsia="zh-CN"/>
              </w:rPr>
              <w:t>___________________________</w:t>
            </w:r>
            <w:r>
              <w:rPr>
                <w:rFonts w:hint="eastAsia" w:hAnsi="宋体" w:cs="仿宋"/>
                <w:bCs/>
                <w:szCs w:val="24"/>
                <w:highlight w:val="none"/>
                <w:u w:val="none"/>
                <w:lang w:eastAsia="zh-CN"/>
              </w:rPr>
              <w:t>（</w:t>
            </w:r>
            <w:r>
              <w:rPr>
                <w:rFonts w:hint="eastAsia" w:hAnsi="宋体" w:cs="仿宋"/>
                <w:bCs/>
                <w:szCs w:val="24"/>
                <w:highlight w:val="none"/>
                <w:u w:val="none"/>
              </w:rPr>
              <w:t>加盖公章</w:t>
            </w:r>
            <w:r>
              <w:rPr>
                <w:rFonts w:hint="eastAsia" w:hAnsi="宋体" w:cs="仿宋"/>
                <w:bCs/>
                <w:szCs w:val="24"/>
                <w:highlight w:val="none"/>
                <w:u w:val="none"/>
                <w:lang w:eastAsia="zh-CN"/>
              </w:rPr>
              <w:t>）</w:t>
            </w:r>
          </w:p>
          <w:p w14:paraId="3A5E4259">
            <w:pPr>
              <w:spacing w:line="360" w:lineRule="auto"/>
              <w:rPr>
                <w:rFonts w:hint="eastAsia" w:hAnsi="宋体" w:cs="仿宋"/>
                <w:szCs w:val="24"/>
                <w:highlight w:val="none"/>
              </w:rPr>
            </w:pPr>
          </w:p>
        </w:tc>
      </w:tr>
    </w:tbl>
    <w:p w14:paraId="4D451A83">
      <w:pPr>
        <w:spacing w:line="360" w:lineRule="auto"/>
        <w:rPr>
          <w:rFonts w:hint="eastAsia" w:hAnsi="宋体" w:cs="仿宋"/>
          <w:bCs/>
          <w:szCs w:val="24"/>
          <w:highlight w:val="none"/>
          <w:lang w:val="en-GB"/>
        </w:rPr>
      </w:pPr>
      <w:r>
        <w:rPr>
          <w:rFonts w:hint="eastAsia" w:hAnsi="宋体" w:cs="仿宋"/>
          <w:bCs/>
          <w:szCs w:val="24"/>
          <w:highlight w:val="none"/>
          <w:lang w:val="en-GB"/>
        </w:rPr>
        <w:t>重要提示：</w:t>
      </w:r>
    </w:p>
    <w:p w14:paraId="28DE234C">
      <w:pPr>
        <w:spacing w:line="360" w:lineRule="auto"/>
        <w:rPr>
          <w:rFonts w:hint="eastAsia" w:hAnsi="宋体" w:cs="仿宋"/>
          <w:szCs w:val="24"/>
          <w:highlight w:val="none"/>
          <w:lang w:val="en-GB"/>
        </w:rPr>
      </w:pPr>
      <w:r>
        <w:rPr>
          <w:rFonts w:hint="eastAsia" w:hAnsi="宋体" w:cs="仿宋"/>
          <w:szCs w:val="24"/>
          <w:highlight w:val="none"/>
          <w:lang w:val="en-GB"/>
        </w:rPr>
        <w:t>请在规定时间内同时递交，包装文件的封口处须加盖公章。</w:t>
      </w:r>
    </w:p>
    <w:p w14:paraId="6EE871F5">
      <w:pPr>
        <w:rPr>
          <w:rFonts w:hint="eastAsia" w:hAnsi="宋体" w:cs="仿宋"/>
          <w:szCs w:val="24"/>
          <w:highlight w:val="none"/>
          <w:lang w:val="en-GB"/>
        </w:rPr>
      </w:pPr>
      <w:r>
        <w:rPr>
          <w:rFonts w:hint="eastAsia" w:hAnsi="宋体" w:cs="仿宋"/>
          <w:szCs w:val="24"/>
          <w:highlight w:val="none"/>
          <w:lang w:val="en-GB"/>
        </w:rPr>
        <w:br w:type="page"/>
      </w:r>
    </w:p>
    <w:p w14:paraId="31721F9B">
      <w:pPr>
        <w:rPr>
          <w:rFonts w:hint="eastAsia" w:hAnsi="宋体" w:cs="仿宋"/>
          <w:szCs w:val="24"/>
          <w:highlight w:val="none"/>
          <w:lang w:val="en-GB"/>
        </w:rPr>
      </w:pPr>
    </w:p>
    <w:sdt>
      <w:sdtPr>
        <w:rPr>
          <w:rFonts w:ascii="宋体" w:hAnsi="宋体" w:eastAsia="宋体" w:cs="Times New Roman"/>
          <w:kern w:val="2"/>
          <w:sz w:val="21"/>
          <w:szCs w:val="24"/>
          <w:highlight w:val="none"/>
          <w:lang w:val="en-US" w:eastAsia="zh-CN" w:bidi="ar-SA"/>
        </w:rPr>
        <w:id w:val="147469052"/>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14:paraId="56B5C02C">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4167EB4B">
          <w:pPr>
            <w:pStyle w:val="12"/>
            <w:tabs>
              <w:tab w:val="right" w:leader="dot" w:pos="8306"/>
            </w:tabs>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_Toc30040 </w:instrText>
          </w:r>
          <w:r>
            <w:rPr>
              <w:highlight w:val="none"/>
            </w:rPr>
            <w:fldChar w:fldCharType="separate"/>
          </w:r>
          <w:r>
            <w:rPr>
              <w:rFonts w:hint="eastAsia"/>
              <w:lang w:val="en-US" w:eastAsia="zh-CN"/>
            </w:rPr>
            <w:t xml:space="preserve">一、 </w:t>
          </w:r>
          <w:r>
            <w:rPr>
              <w:rFonts w:hint="eastAsia" w:ascii="宋体" w:hAnsi="宋体" w:cs="宋体"/>
              <w:szCs w:val="24"/>
              <w:highlight w:val="none"/>
              <w:lang w:eastAsia="zh-CN"/>
            </w:rPr>
            <w:t>参评</w:t>
          </w:r>
          <w:r>
            <w:rPr>
              <w:rFonts w:hint="eastAsia" w:ascii="宋体" w:hAnsi="宋体" w:eastAsia="宋体" w:cs="宋体"/>
              <w:szCs w:val="24"/>
              <w:highlight w:val="none"/>
            </w:rPr>
            <w:t>文件</w:t>
          </w:r>
          <w:r>
            <w:rPr>
              <w:rFonts w:hint="eastAsia" w:ascii="宋体" w:hAnsi="宋体" w:cs="宋体"/>
              <w:szCs w:val="24"/>
              <w:highlight w:val="none"/>
              <w:lang w:eastAsia="zh-CN"/>
            </w:rPr>
            <w:t>自评表</w:t>
          </w:r>
          <w:r>
            <w:tab/>
          </w:r>
          <w:r>
            <w:fldChar w:fldCharType="begin"/>
          </w:r>
          <w:r>
            <w:instrText xml:space="preserve"> PAGEREF _Toc30040 \h </w:instrText>
          </w:r>
          <w:r>
            <w:fldChar w:fldCharType="separate"/>
          </w:r>
          <w:r>
            <w:t>17</w:t>
          </w:r>
          <w:r>
            <w:fldChar w:fldCharType="end"/>
          </w:r>
          <w:r>
            <w:rPr>
              <w:highlight w:val="none"/>
            </w:rPr>
            <w:fldChar w:fldCharType="end"/>
          </w:r>
        </w:p>
        <w:p w14:paraId="6A267829">
          <w:pPr>
            <w:pStyle w:val="12"/>
            <w:tabs>
              <w:tab w:val="right" w:leader="dot" w:pos="8306"/>
            </w:tabs>
          </w:pPr>
          <w:r>
            <w:rPr>
              <w:highlight w:val="none"/>
            </w:rPr>
            <w:fldChar w:fldCharType="begin"/>
          </w:r>
          <w:r>
            <w:rPr>
              <w:highlight w:val="none"/>
            </w:rPr>
            <w:instrText xml:space="preserve"> HYPERLINK \l _Toc3789 </w:instrText>
          </w:r>
          <w:r>
            <w:rPr>
              <w:highlight w:val="none"/>
            </w:rPr>
            <w:fldChar w:fldCharType="separate"/>
          </w:r>
          <w:r>
            <w:rPr>
              <w:rFonts w:hint="eastAsia"/>
              <w:lang w:val="en-US" w:eastAsia="zh-CN"/>
            </w:rPr>
            <w:t xml:space="preserve">二、 </w:t>
          </w:r>
          <w:r>
            <w:rPr>
              <w:rFonts w:hint="eastAsia" w:ascii="宋体" w:hAnsi="宋体" w:eastAsia="宋体" w:cs="宋体"/>
              <w:szCs w:val="24"/>
              <w:highlight w:val="none"/>
            </w:rPr>
            <w:t>商务技术部分评审自查表</w:t>
          </w:r>
          <w:r>
            <w:tab/>
          </w:r>
          <w:r>
            <w:fldChar w:fldCharType="begin"/>
          </w:r>
          <w:r>
            <w:instrText xml:space="preserve"> PAGEREF _Toc3789 \h </w:instrText>
          </w:r>
          <w:r>
            <w:fldChar w:fldCharType="separate"/>
          </w:r>
          <w:r>
            <w:t>18</w:t>
          </w:r>
          <w:r>
            <w:fldChar w:fldCharType="end"/>
          </w:r>
          <w:r>
            <w:rPr>
              <w:highlight w:val="none"/>
            </w:rPr>
            <w:fldChar w:fldCharType="end"/>
          </w:r>
        </w:p>
        <w:p w14:paraId="7B623AFF">
          <w:pPr>
            <w:pStyle w:val="12"/>
            <w:tabs>
              <w:tab w:val="right" w:leader="dot" w:pos="8306"/>
            </w:tabs>
          </w:pPr>
          <w:r>
            <w:rPr>
              <w:highlight w:val="none"/>
            </w:rPr>
            <w:fldChar w:fldCharType="begin"/>
          </w:r>
          <w:r>
            <w:rPr>
              <w:highlight w:val="none"/>
            </w:rPr>
            <w:instrText xml:space="preserve"> HYPERLINK \l _Toc17431 </w:instrText>
          </w:r>
          <w:r>
            <w:rPr>
              <w:highlight w:val="none"/>
            </w:rPr>
            <w:fldChar w:fldCharType="separate"/>
          </w:r>
          <w:r>
            <w:rPr>
              <w:rFonts w:hint="eastAsia"/>
              <w:lang w:val="en-US" w:eastAsia="zh-CN"/>
            </w:rPr>
            <w:t xml:space="preserve">三、 </w:t>
          </w:r>
          <w:r>
            <w:rPr>
              <w:rFonts w:hint="eastAsia" w:ascii="宋体" w:hAnsi="宋体" w:eastAsia="宋体" w:cs="宋体"/>
              <w:szCs w:val="24"/>
              <w:highlight w:val="none"/>
            </w:rPr>
            <w:t>法定代表人授权书</w:t>
          </w:r>
          <w:r>
            <w:tab/>
          </w:r>
          <w:r>
            <w:fldChar w:fldCharType="begin"/>
          </w:r>
          <w:r>
            <w:instrText xml:space="preserve"> PAGEREF _Toc17431 \h </w:instrText>
          </w:r>
          <w:r>
            <w:fldChar w:fldCharType="separate"/>
          </w:r>
          <w:r>
            <w:t>20</w:t>
          </w:r>
          <w:r>
            <w:fldChar w:fldCharType="end"/>
          </w:r>
          <w:r>
            <w:rPr>
              <w:highlight w:val="none"/>
            </w:rPr>
            <w:fldChar w:fldCharType="end"/>
          </w:r>
        </w:p>
        <w:p w14:paraId="1536A7FD">
          <w:pPr>
            <w:pStyle w:val="12"/>
            <w:tabs>
              <w:tab w:val="right" w:leader="dot" w:pos="8306"/>
            </w:tabs>
          </w:pPr>
          <w:r>
            <w:rPr>
              <w:highlight w:val="none"/>
            </w:rPr>
            <w:fldChar w:fldCharType="begin"/>
          </w:r>
          <w:r>
            <w:rPr>
              <w:highlight w:val="none"/>
            </w:rPr>
            <w:instrText xml:space="preserve"> HYPERLINK \l _Toc20907 </w:instrText>
          </w:r>
          <w:r>
            <w:rPr>
              <w:highlight w:val="none"/>
            </w:rPr>
            <w:fldChar w:fldCharType="separate"/>
          </w:r>
          <w:r>
            <w:rPr>
              <w:rFonts w:hint="eastAsia" w:ascii="宋体" w:hAnsi="宋体" w:cs="宋体"/>
              <w:szCs w:val="24"/>
              <w:lang w:val="en-US" w:eastAsia="zh-CN"/>
            </w:rPr>
            <w:t xml:space="preserve">四、 </w:t>
          </w:r>
          <w:r>
            <w:rPr>
              <w:rFonts w:hint="eastAsia" w:ascii="宋体" w:hAnsi="宋体" w:cs="宋体"/>
              <w:szCs w:val="24"/>
              <w:highlight w:val="none"/>
              <w:lang w:eastAsia="zh-CN"/>
            </w:rPr>
            <w:t>参评</w:t>
          </w:r>
          <w:r>
            <w:rPr>
              <w:rFonts w:hint="eastAsia" w:ascii="宋体" w:hAnsi="宋体" w:eastAsia="宋体" w:cs="宋体"/>
              <w:szCs w:val="24"/>
              <w:highlight w:val="none"/>
            </w:rPr>
            <w:t>承诺书</w:t>
          </w:r>
          <w:r>
            <w:tab/>
          </w:r>
          <w:r>
            <w:fldChar w:fldCharType="begin"/>
          </w:r>
          <w:r>
            <w:instrText xml:space="preserve"> PAGEREF _Toc20907 \h </w:instrText>
          </w:r>
          <w:r>
            <w:fldChar w:fldCharType="separate"/>
          </w:r>
          <w:r>
            <w:t>21</w:t>
          </w:r>
          <w:r>
            <w:fldChar w:fldCharType="end"/>
          </w:r>
          <w:r>
            <w:rPr>
              <w:highlight w:val="none"/>
            </w:rPr>
            <w:fldChar w:fldCharType="end"/>
          </w:r>
        </w:p>
        <w:p w14:paraId="022A18F9">
          <w:pPr>
            <w:pStyle w:val="12"/>
            <w:tabs>
              <w:tab w:val="right" w:leader="dot" w:pos="8306"/>
            </w:tabs>
          </w:pPr>
          <w:r>
            <w:rPr>
              <w:highlight w:val="none"/>
            </w:rPr>
            <w:fldChar w:fldCharType="begin"/>
          </w:r>
          <w:r>
            <w:rPr>
              <w:highlight w:val="none"/>
            </w:rPr>
            <w:instrText xml:space="preserve"> HYPERLINK \l _Toc18759 </w:instrText>
          </w:r>
          <w:r>
            <w:rPr>
              <w:highlight w:val="none"/>
            </w:rPr>
            <w:fldChar w:fldCharType="separate"/>
          </w:r>
          <w:r>
            <w:rPr>
              <w:rFonts w:hint="eastAsia"/>
              <w:lang w:eastAsia="zh-CN"/>
            </w:rPr>
            <w:t xml:space="preserve">五、 </w:t>
          </w:r>
          <w:r>
            <w:rPr>
              <w:rFonts w:hint="eastAsia" w:ascii="宋体" w:hAnsi="宋体" w:cs="宋体"/>
              <w:bCs/>
              <w:szCs w:val="24"/>
              <w:highlight w:val="none"/>
              <w:lang w:eastAsia="zh-CN"/>
            </w:rPr>
            <w:t>企业营业执照</w:t>
          </w:r>
          <w:r>
            <w:tab/>
          </w:r>
          <w:r>
            <w:fldChar w:fldCharType="begin"/>
          </w:r>
          <w:r>
            <w:instrText xml:space="preserve"> PAGEREF _Toc18759 \h </w:instrText>
          </w:r>
          <w:r>
            <w:fldChar w:fldCharType="separate"/>
          </w:r>
          <w:r>
            <w:t>22</w:t>
          </w:r>
          <w:r>
            <w:fldChar w:fldCharType="end"/>
          </w:r>
          <w:r>
            <w:rPr>
              <w:highlight w:val="none"/>
            </w:rPr>
            <w:fldChar w:fldCharType="end"/>
          </w:r>
        </w:p>
        <w:p w14:paraId="5B0E1110">
          <w:pPr>
            <w:pStyle w:val="12"/>
            <w:tabs>
              <w:tab w:val="right" w:leader="dot" w:pos="8306"/>
            </w:tabs>
          </w:pPr>
          <w:r>
            <w:rPr>
              <w:highlight w:val="none"/>
            </w:rPr>
            <w:fldChar w:fldCharType="begin"/>
          </w:r>
          <w:r>
            <w:rPr>
              <w:highlight w:val="none"/>
            </w:rPr>
            <w:instrText xml:space="preserve"> HYPERLINK \l _Toc18266 </w:instrText>
          </w:r>
          <w:r>
            <w:rPr>
              <w:highlight w:val="none"/>
            </w:rPr>
            <w:fldChar w:fldCharType="separate"/>
          </w:r>
          <w:r>
            <w:rPr>
              <w:rFonts w:hint="eastAsia"/>
              <w:lang w:eastAsia="zh-CN"/>
            </w:rPr>
            <w:t xml:space="preserve">六、 </w:t>
          </w:r>
          <w:r>
            <w:rPr>
              <w:rFonts w:hint="eastAsia"/>
              <w:highlight w:val="none"/>
              <w:lang w:eastAsia="zh-CN"/>
            </w:rPr>
            <w:t>参评单位代表的社保证明</w:t>
          </w:r>
          <w:r>
            <w:tab/>
          </w:r>
          <w:r>
            <w:fldChar w:fldCharType="begin"/>
          </w:r>
          <w:r>
            <w:instrText xml:space="preserve"> PAGEREF _Toc18266 \h </w:instrText>
          </w:r>
          <w:r>
            <w:fldChar w:fldCharType="separate"/>
          </w:r>
          <w:r>
            <w:t>23</w:t>
          </w:r>
          <w:r>
            <w:fldChar w:fldCharType="end"/>
          </w:r>
          <w:r>
            <w:rPr>
              <w:highlight w:val="none"/>
            </w:rPr>
            <w:fldChar w:fldCharType="end"/>
          </w:r>
        </w:p>
        <w:p w14:paraId="51436F43">
          <w:pPr>
            <w:pStyle w:val="12"/>
            <w:tabs>
              <w:tab w:val="right" w:leader="dot" w:pos="8306"/>
            </w:tabs>
          </w:pPr>
          <w:r>
            <w:rPr>
              <w:highlight w:val="none"/>
            </w:rPr>
            <w:fldChar w:fldCharType="begin"/>
          </w:r>
          <w:r>
            <w:rPr>
              <w:highlight w:val="none"/>
            </w:rPr>
            <w:instrText xml:space="preserve"> HYPERLINK \l _Toc3231 </w:instrText>
          </w:r>
          <w:r>
            <w:rPr>
              <w:highlight w:val="none"/>
            </w:rPr>
            <w:fldChar w:fldCharType="separate"/>
          </w:r>
          <w:r>
            <w:rPr>
              <w:rFonts w:hint="eastAsia"/>
              <w:lang w:eastAsia="zh-CN"/>
            </w:rPr>
            <w:t xml:space="preserve">七、 </w:t>
          </w:r>
          <w:r>
            <w:rPr>
              <w:rFonts w:hint="eastAsia"/>
              <w:highlight w:val="none"/>
              <w:lang w:eastAsia="zh-CN"/>
            </w:rPr>
            <w:t>电力交易履约担保凭证</w:t>
          </w:r>
          <w:r>
            <w:tab/>
          </w:r>
          <w:r>
            <w:fldChar w:fldCharType="begin"/>
          </w:r>
          <w:r>
            <w:instrText xml:space="preserve"> PAGEREF _Toc3231 \h </w:instrText>
          </w:r>
          <w:r>
            <w:fldChar w:fldCharType="separate"/>
          </w:r>
          <w:r>
            <w:t>24</w:t>
          </w:r>
          <w:r>
            <w:fldChar w:fldCharType="end"/>
          </w:r>
          <w:r>
            <w:rPr>
              <w:highlight w:val="none"/>
            </w:rPr>
            <w:fldChar w:fldCharType="end"/>
          </w:r>
        </w:p>
        <w:p w14:paraId="7C7D0D82">
          <w:pPr>
            <w:pStyle w:val="12"/>
            <w:tabs>
              <w:tab w:val="right" w:leader="dot" w:pos="8306"/>
            </w:tabs>
          </w:pPr>
          <w:r>
            <w:rPr>
              <w:highlight w:val="none"/>
            </w:rPr>
            <w:fldChar w:fldCharType="begin"/>
          </w:r>
          <w:r>
            <w:rPr>
              <w:highlight w:val="none"/>
            </w:rPr>
            <w:instrText xml:space="preserve"> HYPERLINK \l _Toc29636 </w:instrText>
          </w:r>
          <w:r>
            <w:rPr>
              <w:highlight w:val="none"/>
            </w:rPr>
            <w:fldChar w:fldCharType="separate"/>
          </w:r>
          <w:r>
            <w:rPr>
              <w:rFonts w:hint="eastAsia"/>
              <w:lang w:eastAsia="zh-CN"/>
            </w:rPr>
            <w:t xml:space="preserve">八、 </w:t>
          </w:r>
          <w:r>
            <w:rPr>
              <w:rFonts w:hint="eastAsia"/>
              <w:highlight w:val="none"/>
              <w:lang w:eastAsia="zh-CN"/>
            </w:rPr>
            <w:t>参评保证金</w:t>
          </w:r>
          <w:r>
            <w:tab/>
          </w:r>
          <w:r>
            <w:fldChar w:fldCharType="begin"/>
          </w:r>
          <w:r>
            <w:instrText xml:space="preserve"> PAGEREF _Toc29636 \h </w:instrText>
          </w:r>
          <w:r>
            <w:fldChar w:fldCharType="separate"/>
          </w:r>
          <w:r>
            <w:t>25</w:t>
          </w:r>
          <w:r>
            <w:fldChar w:fldCharType="end"/>
          </w:r>
          <w:r>
            <w:rPr>
              <w:highlight w:val="none"/>
            </w:rPr>
            <w:fldChar w:fldCharType="end"/>
          </w:r>
        </w:p>
        <w:p w14:paraId="77716D55">
          <w:pPr>
            <w:pStyle w:val="12"/>
            <w:tabs>
              <w:tab w:val="right" w:leader="dot" w:pos="8306"/>
            </w:tabs>
          </w:pPr>
          <w:r>
            <w:rPr>
              <w:highlight w:val="none"/>
            </w:rPr>
            <w:fldChar w:fldCharType="begin"/>
          </w:r>
          <w:r>
            <w:rPr>
              <w:highlight w:val="none"/>
            </w:rPr>
            <w:instrText xml:space="preserve"> HYPERLINK \l _Toc31016 </w:instrText>
          </w:r>
          <w:r>
            <w:rPr>
              <w:highlight w:val="none"/>
            </w:rPr>
            <w:fldChar w:fldCharType="separate"/>
          </w:r>
          <w:r>
            <w:rPr>
              <w:rFonts w:hint="eastAsia"/>
              <w:lang w:eastAsia="zh-CN"/>
            </w:rPr>
            <w:t xml:space="preserve">九、 </w:t>
          </w:r>
          <w:r>
            <w:rPr>
              <w:rFonts w:hint="eastAsia"/>
              <w:highlight w:val="none"/>
              <w:lang w:eastAsia="zh-CN"/>
            </w:rPr>
            <w:t>参评保证金退款账户变更申请函</w:t>
          </w:r>
          <w:r>
            <w:tab/>
          </w:r>
          <w:r>
            <w:fldChar w:fldCharType="begin"/>
          </w:r>
          <w:r>
            <w:instrText xml:space="preserve"> PAGEREF _Toc31016 \h </w:instrText>
          </w:r>
          <w:r>
            <w:fldChar w:fldCharType="separate"/>
          </w:r>
          <w:r>
            <w:t>26</w:t>
          </w:r>
          <w:r>
            <w:fldChar w:fldCharType="end"/>
          </w:r>
          <w:r>
            <w:rPr>
              <w:highlight w:val="none"/>
            </w:rPr>
            <w:fldChar w:fldCharType="end"/>
          </w:r>
        </w:p>
        <w:p w14:paraId="2C094C89">
          <w:pPr>
            <w:pStyle w:val="12"/>
            <w:tabs>
              <w:tab w:val="right" w:leader="dot" w:pos="8306"/>
            </w:tabs>
          </w:pPr>
          <w:r>
            <w:rPr>
              <w:highlight w:val="none"/>
            </w:rPr>
            <w:fldChar w:fldCharType="begin"/>
          </w:r>
          <w:r>
            <w:rPr>
              <w:highlight w:val="none"/>
            </w:rPr>
            <w:instrText xml:space="preserve"> HYPERLINK \l _Toc22898 </w:instrText>
          </w:r>
          <w:r>
            <w:rPr>
              <w:highlight w:val="none"/>
            </w:rPr>
            <w:fldChar w:fldCharType="separate"/>
          </w:r>
          <w:r>
            <w:rPr>
              <w:rFonts w:hint="eastAsia"/>
              <w:lang w:val="en-US" w:eastAsia="zh-CN"/>
            </w:rPr>
            <w:t xml:space="preserve">十、 </w:t>
          </w:r>
          <w:r>
            <w:rPr>
              <w:rFonts w:hint="eastAsia"/>
              <w:highlight w:val="none"/>
              <w:lang w:val="en-US" w:eastAsia="zh-CN"/>
            </w:rPr>
            <w:t>增值服务承诺书（设备巡检及光伏清洗）</w:t>
          </w:r>
          <w:r>
            <w:tab/>
          </w:r>
          <w:r>
            <w:fldChar w:fldCharType="begin"/>
          </w:r>
          <w:r>
            <w:instrText xml:space="preserve"> PAGEREF _Toc22898 \h </w:instrText>
          </w:r>
          <w:r>
            <w:fldChar w:fldCharType="separate"/>
          </w:r>
          <w:r>
            <w:t>27</w:t>
          </w:r>
          <w:r>
            <w:fldChar w:fldCharType="end"/>
          </w:r>
          <w:r>
            <w:rPr>
              <w:highlight w:val="none"/>
            </w:rPr>
            <w:fldChar w:fldCharType="end"/>
          </w:r>
        </w:p>
        <w:p w14:paraId="7A04CCED">
          <w:pPr>
            <w:pStyle w:val="12"/>
            <w:tabs>
              <w:tab w:val="right" w:leader="dot" w:pos="8306"/>
            </w:tabs>
          </w:pPr>
          <w:r>
            <w:rPr>
              <w:highlight w:val="none"/>
            </w:rPr>
            <w:fldChar w:fldCharType="begin"/>
          </w:r>
          <w:r>
            <w:rPr>
              <w:highlight w:val="none"/>
            </w:rPr>
            <w:instrText xml:space="preserve"> HYPERLINK \l _Toc17506 </w:instrText>
          </w:r>
          <w:r>
            <w:rPr>
              <w:highlight w:val="none"/>
            </w:rPr>
            <w:fldChar w:fldCharType="separate"/>
          </w:r>
          <w:r>
            <w:rPr>
              <w:rFonts w:hint="eastAsia"/>
              <w:lang w:val="en-US" w:eastAsia="zh-CN"/>
            </w:rPr>
            <w:t xml:space="preserve">十一、 </w:t>
          </w:r>
          <w:r>
            <w:rPr>
              <w:rFonts w:hint="eastAsia"/>
              <w:highlight w:val="none"/>
              <w:lang w:val="en-US" w:eastAsia="zh-CN"/>
            </w:rPr>
            <w:t>增值服务承诺书（光伏项目建设）</w:t>
          </w:r>
          <w:r>
            <w:tab/>
          </w:r>
          <w:r>
            <w:fldChar w:fldCharType="begin"/>
          </w:r>
          <w:r>
            <w:instrText xml:space="preserve"> PAGEREF _Toc17506 \h </w:instrText>
          </w:r>
          <w:r>
            <w:fldChar w:fldCharType="separate"/>
          </w:r>
          <w:r>
            <w:t>28</w:t>
          </w:r>
          <w:r>
            <w:fldChar w:fldCharType="end"/>
          </w:r>
          <w:r>
            <w:rPr>
              <w:highlight w:val="none"/>
            </w:rPr>
            <w:fldChar w:fldCharType="end"/>
          </w:r>
        </w:p>
        <w:p w14:paraId="7489F960">
          <w:pPr>
            <w:pStyle w:val="12"/>
            <w:tabs>
              <w:tab w:val="right" w:leader="dot" w:pos="8306"/>
            </w:tabs>
          </w:pPr>
          <w:r>
            <w:rPr>
              <w:highlight w:val="none"/>
            </w:rPr>
            <w:fldChar w:fldCharType="begin"/>
          </w:r>
          <w:r>
            <w:rPr>
              <w:highlight w:val="none"/>
            </w:rPr>
            <w:instrText xml:space="preserve"> HYPERLINK \l _Toc2197 </w:instrText>
          </w:r>
          <w:r>
            <w:rPr>
              <w:highlight w:val="none"/>
            </w:rPr>
            <w:fldChar w:fldCharType="separate"/>
          </w:r>
          <w:r>
            <w:rPr>
              <w:rFonts w:hint="eastAsia"/>
              <w:lang w:val="en-US" w:eastAsia="zh-CN"/>
            </w:rPr>
            <w:t xml:space="preserve">十二、 </w:t>
          </w:r>
          <w:r>
            <w:rPr>
              <w:rFonts w:hint="eastAsia"/>
              <w:highlight w:val="none"/>
              <w:lang w:val="en-US" w:eastAsia="zh-CN"/>
            </w:rPr>
            <w:t>增值服务承诺书（充电站项目建设）</w:t>
          </w:r>
          <w:r>
            <w:tab/>
          </w:r>
          <w:r>
            <w:fldChar w:fldCharType="begin"/>
          </w:r>
          <w:r>
            <w:instrText xml:space="preserve"> PAGEREF _Toc2197 \h </w:instrText>
          </w:r>
          <w:r>
            <w:fldChar w:fldCharType="separate"/>
          </w:r>
          <w:r>
            <w:t>29</w:t>
          </w:r>
          <w:r>
            <w:fldChar w:fldCharType="end"/>
          </w:r>
          <w:r>
            <w:rPr>
              <w:highlight w:val="none"/>
            </w:rPr>
            <w:fldChar w:fldCharType="end"/>
          </w:r>
        </w:p>
        <w:p w14:paraId="65E31E08">
          <w:pPr>
            <w:pStyle w:val="12"/>
            <w:tabs>
              <w:tab w:val="right" w:leader="dot" w:pos="8306"/>
            </w:tabs>
          </w:pPr>
          <w:r>
            <w:rPr>
              <w:highlight w:val="none"/>
            </w:rPr>
            <w:fldChar w:fldCharType="begin"/>
          </w:r>
          <w:r>
            <w:rPr>
              <w:highlight w:val="none"/>
            </w:rPr>
            <w:instrText xml:space="preserve"> HYPERLINK \l _Toc29606 </w:instrText>
          </w:r>
          <w:r>
            <w:rPr>
              <w:highlight w:val="none"/>
            </w:rPr>
            <w:fldChar w:fldCharType="separate"/>
          </w:r>
          <w:r>
            <w:rPr>
              <w:rFonts w:hint="eastAsia"/>
              <w:lang w:val="en-US" w:eastAsia="zh-CN"/>
            </w:rPr>
            <w:t xml:space="preserve">十三、 </w:t>
          </w:r>
          <w:r>
            <w:rPr>
              <w:rFonts w:hint="eastAsia"/>
              <w:highlight w:val="none"/>
              <w:lang w:val="en-US" w:eastAsia="zh-CN"/>
            </w:rPr>
            <w:t>增值服务承诺书（绿色能源发展支持）</w:t>
          </w:r>
          <w:r>
            <w:tab/>
          </w:r>
          <w:r>
            <w:fldChar w:fldCharType="begin"/>
          </w:r>
          <w:r>
            <w:instrText xml:space="preserve"> PAGEREF _Toc29606 \h </w:instrText>
          </w:r>
          <w:r>
            <w:fldChar w:fldCharType="separate"/>
          </w:r>
          <w:r>
            <w:t>30</w:t>
          </w:r>
          <w:r>
            <w:fldChar w:fldCharType="end"/>
          </w:r>
          <w:r>
            <w:rPr>
              <w:highlight w:val="none"/>
            </w:rPr>
            <w:fldChar w:fldCharType="end"/>
          </w:r>
        </w:p>
        <w:p w14:paraId="09BB5668">
          <w:pPr>
            <w:pStyle w:val="12"/>
            <w:tabs>
              <w:tab w:val="right" w:leader="dot" w:pos="8306"/>
            </w:tabs>
          </w:pPr>
          <w:r>
            <w:rPr>
              <w:highlight w:val="none"/>
            </w:rPr>
            <w:fldChar w:fldCharType="begin"/>
          </w:r>
          <w:r>
            <w:rPr>
              <w:highlight w:val="none"/>
            </w:rPr>
            <w:instrText xml:space="preserve"> HYPERLINK \l _Toc30564 </w:instrText>
          </w:r>
          <w:r>
            <w:rPr>
              <w:highlight w:val="none"/>
            </w:rPr>
            <w:fldChar w:fldCharType="separate"/>
          </w:r>
          <w:r>
            <w:rPr>
              <w:rFonts w:hint="eastAsia"/>
              <w:lang w:val="en-US" w:eastAsia="zh-CN"/>
            </w:rPr>
            <w:t xml:space="preserve">十四、 </w:t>
          </w:r>
          <w:r>
            <w:rPr>
              <w:rFonts w:hint="eastAsia"/>
              <w:highlight w:val="none"/>
              <w:lang w:val="en-US" w:eastAsia="zh-CN"/>
            </w:rPr>
            <w:t>其他资料</w:t>
          </w:r>
          <w:r>
            <w:tab/>
          </w:r>
          <w:r>
            <w:fldChar w:fldCharType="begin"/>
          </w:r>
          <w:r>
            <w:instrText xml:space="preserve"> PAGEREF _Toc30564 \h </w:instrText>
          </w:r>
          <w:r>
            <w:fldChar w:fldCharType="separate"/>
          </w:r>
          <w:r>
            <w:t>31</w:t>
          </w:r>
          <w:r>
            <w:fldChar w:fldCharType="end"/>
          </w:r>
          <w:r>
            <w:rPr>
              <w:highlight w:val="none"/>
            </w:rPr>
            <w:fldChar w:fldCharType="end"/>
          </w:r>
        </w:p>
        <w:p w14:paraId="50C7EAA8">
          <w:pPr>
            <w:rPr>
              <w:highlight w:val="none"/>
            </w:rPr>
          </w:pPr>
          <w:r>
            <w:rPr>
              <w:highlight w:val="none"/>
            </w:rPr>
            <w:fldChar w:fldCharType="end"/>
          </w:r>
        </w:p>
      </w:sdtContent>
    </w:sdt>
    <w:p w14:paraId="7188F65B">
      <w:pPr>
        <w:rPr>
          <w:highlight w:val="none"/>
        </w:rPr>
      </w:pPr>
      <w:r>
        <w:rPr>
          <w:highlight w:val="none"/>
        </w:rPr>
        <w:br w:type="page"/>
      </w:r>
    </w:p>
    <w:bookmarkEnd w:id="0"/>
    <w:bookmarkEnd w:id="1"/>
    <w:bookmarkEnd w:id="2"/>
    <w:p w14:paraId="7AFA5890">
      <w:pPr>
        <w:pStyle w:val="25"/>
        <w:bidi w:val="0"/>
        <w:rPr>
          <w:rFonts w:hint="default"/>
          <w:highlight w:val="none"/>
          <w:lang w:val="en-US" w:eastAsia="zh-CN"/>
        </w:rPr>
      </w:pPr>
      <w:bookmarkStart w:id="4" w:name="_Toc16985"/>
      <w:bookmarkStart w:id="5" w:name="_Toc30040"/>
      <w:bookmarkStart w:id="6" w:name="_Toc14502"/>
      <w:bookmarkStart w:id="7" w:name="_Toc23930"/>
      <w:bookmarkStart w:id="8" w:name="_Toc30487"/>
      <w:bookmarkStart w:id="9" w:name="_Toc10328"/>
      <w:r>
        <w:rPr>
          <w:rFonts w:hint="eastAsia" w:ascii="宋体" w:hAnsi="宋体" w:cs="宋体"/>
          <w:sz w:val="24"/>
          <w:szCs w:val="24"/>
          <w:highlight w:val="none"/>
          <w:lang w:eastAsia="zh-CN"/>
        </w:rPr>
        <w:t>参评</w:t>
      </w:r>
      <w:r>
        <w:rPr>
          <w:rFonts w:hint="eastAsia" w:ascii="宋体" w:hAnsi="宋体" w:eastAsia="宋体" w:cs="宋体"/>
          <w:sz w:val="24"/>
          <w:szCs w:val="24"/>
          <w:highlight w:val="none"/>
        </w:rPr>
        <w:t>文件</w:t>
      </w:r>
      <w:r>
        <w:rPr>
          <w:rFonts w:hint="eastAsia" w:ascii="宋体" w:hAnsi="宋体" w:cs="宋体"/>
          <w:sz w:val="24"/>
          <w:szCs w:val="24"/>
          <w:highlight w:val="none"/>
          <w:lang w:eastAsia="zh-CN"/>
        </w:rPr>
        <w:t>自评表</w:t>
      </w:r>
      <w:bookmarkEnd w:id="4"/>
      <w:bookmarkEnd w:id="5"/>
      <w:bookmarkEnd w:id="6"/>
      <w:bookmarkEnd w:id="7"/>
      <w:bookmarkEnd w:id="8"/>
    </w:p>
    <w:tbl>
      <w:tblPr>
        <w:tblStyle w:val="18"/>
        <w:tblW w:w="97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4435"/>
        <w:gridCol w:w="2113"/>
        <w:gridCol w:w="2608"/>
      </w:tblGrid>
      <w:tr w14:paraId="4BD597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jc w:val="center"/>
        </w:trPr>
        <w:tc>
          <w:tcPr>
            <w:tcW w:w="573" w:type="dxa"/>
            <w:shd w:val="clear" w:color="auto" w:fill="E0E0E0"/>
            <w:noWrap w:val="0"/>
            <w:vAlign w:val="center"/>
          </w:tcPr>
          <w:p w14:paraId="2B9DAC58">
            <w:pPr>
              <w:pStyle w:val="24"/>
              <w:keepNext w:val="0"/>
              <w:keepLines w:val="0"/>
              <w:pageBreakBefore w:val="0"/>
              <w:widowControl w:val="0"/>
              <w:kinsoku/>
              <w:overflowPunct/>
              <w:topLinePunct w:val="0"/>
              <w:autoSpaceDE/>
              <w:autoSpaceDN/>
              <w:bidi w:val="0"/>
              <w:adjustRightInd w:val="0"/>
              <w:snapToGrid w:val="0"/>
              <w:textAlignment w:val="auto"/>
            </w:pPr>
            <w:r>
              <w:rPr>
                <w:rFonts w:hint="eastAsia"/>
                <w:lang w:eastAsia="zh-CN"/>
              </w:rPr>
              <w:br w:type="page"/>
            </w:r>
            <w:r>
              <w:rPr>
                <w:rFonts w:hint="eastAsia"/>
              </w:rPr>
              <w:t>序号</w:t>
            </w:r>
          </w:p>
        </w:tc>
        <w:tc>
          <w:tcPr>
            <w:tcW w:w="4435" w:type="dxa"/>
            <w:shd w:val="clear" w:color="auto" w:fill="E0E0E0"/>
            <w:noWrap w:val="0"/>
            <w:vAlign w:val="center"/>
          </w:tcPr>
          <w:p w14:paraId="67CAC0D3">
            <w:pPr>
              <w:pStyle w:val="24"/>
              <w:keepNext w:val="0"/>
              <w:keepLines w:val="0"/>
              <w:pageBreakBefore w:val="0"/>
              <w:widowControl w:val="0"/>
              <w:kinsoku/>
              <w:overflowPunct/>
              <w:topLinePunct w:val="0"/>
              <w:autoSpaceDE/>
              <w:autoSpaceDN/>
              <w:bidi w:val="0"/>
              <w:adjustRightInd w:val="0"/>
              <w:snapToGrid w:val="0"/>
              <w:jc w:val="center"/>
              <w:textAlignment w:val="auto"/>
            </w:pPr>
            <w:r>
              <w:rPr>
                <w:rFonts w:hint="eastAsia"/>
              </w:rPr>
              <w:t>审查内容</w:t>
            </w:r>
          </w:p>
        </w:tc>
        <w:tc>
          <w:tcPr>
            <w:tcW w:w="2113" w:type="dxa"/>
            <w:shd w:val="clear" w:color="auto" w:fill="E0E0E0"/>
            <w:noWrap w:val="0"/>
            <w:vAlign w:val="center"/>
          </w:tcPr>
          <w:p w14:paraId="1628C283">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lang w:val="en-US"/>
              </w:rPr>
            </w:pPr>
            <w:r>
              <w:rPr>
                <w:rFonts w:hint="eastAsia"/>
                <w:lang w:val="en-US" w:eastAsia="zh-CN"/>
              </w:rPr>
              <w:t>自查结论</w:t>
            </w:r>
          </w:p>
        </w:tc>
        <w:tc>
          <w:tcPr>
            <w:tcW w:w="2608" w:type="dxa"/>
            <w:shd w:val="clear" w:color="auto" w:fill="E0E0E0"/>
            <w:noWrap w:val="0"/>
            <w:vAlign w:val="center"/>
          </w:tcPr>
          <w:p w14:paraId="16FE3D9C">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证明资料</w:t>
            </w:r>
          </w:p>
        </w:tc>
      </w:tr>
      <w:tr w14:paraId="60408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3" w:type="dxa"/>
            <w:noWrap w:val="0"/>
            <w:vAlign w:val="center"/>
          </w:tcPr>
          <w:p w14:paraId="1E67A126">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eastAsia="zh-CN"/>
              </w:rPr>
            </w:pPr>
            <w:r>
              <w:rPr>
                <w:rFonts w:hint="eastAsia"/>
                <w:lang w:val="en-US" w:eastAsia="zh-CN"/>
              </w:rPr>
              <w:t>1</w:t>
            </w:r>
          </w:p>
        </w:tc>
        <w:tc>
          <w:tcPr>
            <w:tcW w:w="4435" w:type="dxa"/>
            <w:noWrap w:val="0"/>
            <w:vAlign w:val="center"/>
          </w:tcPr>
          <w:p w14:paraId="3FE077E6">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rPr>
              <w:t>评选文件资料</w:t>
            </w:r>
            <w:r>
              <w:rPr>
                <w:rFonts w:hint="eastAsia"/>
                <w:lang w:val="en-US" w:eastAsia="zh-CN"/>
              </w:rPr>
              <w:t>必须密封并按要求签</w:t>
            </w:r>
            <w:r>
              <w:rPr>
                <w:rFonts w:hint="eastAsia"/>
              </w:rPr>
              <w:t>章</w:t>
            </w:r>
            <w:r>
              <w:rPr>
                <w:rFonts w:hint="eastAsia"/>
                <w:lang w:eastAsia="zh-CN"/>
              </w:rPr>
              <w:t>。</w:t>
            </w:r>
          </w:p>
        </w:tc>
        <w:tc>
          <w:tcPr>
            <w:tcW w:w="2113" w:type="dxa"/>
            <w:noWrap w:val="0"/>
            <w:vAlign w:val="top"/>
          </w:tcPr>
          <w:p w14:paraId="5CA1529E">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3451A239">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p>
        </w:tc>
      </w:tr>
      <w:tr w14:paraId="3DB2B6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3" w:type="dxa"/>
            <w:noWrap w:val="0"/>
            <w:vAlign w:val="center"/>
          </w:tcPr>
          <w:p w14:paraId="5CDA2B5B">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eastAsia="zh-CN"/>
              </w:rPr>
            </w:pPr>
            <w:r>
              <w:rPr>
                <w:rFonts w:hint="eastAsia"/>
                <w:lang w:val="en-US" w:eastAsia="zh-CN"/>
              </w:rPr>
              <w:t>2</w:t>
            </w:r>
          </w:p>
        </w:tc>
        <w:tc>
          <w:tcPr>
            <w:tcW w:w="4435" w:type="dxa"/>
            <w:noWrap w:val="0"/>
            <w:vAlign w:val="center"/>
          </w:tcPr>
          <w:p w14:paraId="6B3DEC90">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依法在中华人民共和国境内注册，具备有效的营业执照或事业单位法人证书。</w:t>
            </w:r>
          </w:p>
        </w:tc>
        <w:tc>
          <w:tcPr>
            <w:tcW w:w="2113" w:type="dxa"/>
            <w:noWrap w:val="0"/>
            <w:vAlign w:val="top"/>
          </w:tcPr>
          <w:p w14:paraId="0D143F01">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510C282B">
            <w:pPr>
              <w:pStyle w:val="24"/>
              <w:keepNext w:val="0"/>
              <w:keepLines w:val="0"/>
              <w:pageBreakBefore w:val="0"/>
              <w:widowControl w:val="0"/>
              <w:kinsoku/>
              <w:wordWrap/>
              <w:overflowPunct/>
              <w:topLinePunct w:val="0"/>
              <w:autoSpaceDE/>
              <w:autoSpaceDN/>
              <w:bidi w:val="0"/>
              <w:adjustRightInd w:val="0"/>
              <w:snapToGrid w:val="0"/>
              <w:ind w:left="0"/>
              <w:jc w:val="left"/>
              <w:textAlignment w:val="auto"/>
            </w:pPr>
            <w:r>
              <w:t>请标注证明资料页码</w:t>
            </w:r>
          </w:p>
          <w:p w14:paraId="6CDD95DD">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t>见参评文件第（ ）页</w:t>
            </w:r>
          </w:p>
        </w:tc>
      </w:tr>
      <w:tr w14:paraId="7D8DE6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573" w:type="dxa"/>
            <w:noWrap w:val="0"/>
            <w:vAlign w:val="center"/>
          </w:tcPr>
          <w:p w14:paraId="67E87CC6">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rPr>
            </w:pPr>
            <w:r>
              <w:rPr>
                <w:rFonts w:hint="eastAsia"/>
              </w:rPr>
              <w:t>3</w:t>
            </w:r>
          </w:p>
        </w:tc>
        <w:tc>
          <w:tcPr>
            <w:tcW w:w="4435" w:type="dxa"/>
            <w:noWrap w:val="0"/>
            <w:vAlign w:val="center"/>
          </w:tcPr>
          <w:p w14:paraId="423463D8">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lang w:eastAsia="zh-CN"/>
              </w:rPr>
            </w:pPr>
            <w:r>
              <w:rPr>
                <w:rFonts w:hint="eastAsia"/>
                <w:lang w:val="en-US" w:eastAsia="zh-CN"/>
              </w:rPr>
              <w:t>未被列入“信用中国”网站（www.creditchina.gov.cn）“失信被执行人或重大税收违法失信主体”记录名单。</w:t>
            </w:r>
          </w:p>
        </w:tc>
        <w:tc>
          <w:tcPr>
            <w:tcW w:w="2113" w:type="dxa"/>
            <w:noWrap w:val="0"/>
            <w:vAlign w:val="top"/>
          </w:tcPr>
          <w:p w14:paraId="18AB46A0">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1AB73958">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t>见参评文件第（ ）页</w:t>
            </w:r>
          </w:p>
        </w:tc>
      </w:tr>
      <w:tr w14:paraId="0BE6C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73" w:type="dxa"/>
            <w:noWrap w:val="0"/>
            <w:vAlign w:val="center"/>
          </w:tcPr>
          <w:p w14:paraId="36BF3777">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eastAsia="zh-CN"/>
              </w:rPr>
            </w:pPr>
            <w:r>
              <w:rPr>
                <w:rFonts w:hint="eastAsia"/>
                <w:lang w:val="en-US" w:eastAsia="zh-CN"/>
              </w:rPr>
              <w:t>4</w:t>
            </w:r>
          </w:p>
        </w:tc>
        <w:tc>
          <w:tcPr>
            <w:tcW w:w="4435" w:type="dxa"/>
            <w:noWrap w:val="0"/>
            <w:vAlign w:val="center"/>
          </w:tcPr>
          <w:p w14:paraId="3294684F">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有效的授权委托书（</w:t>
            </w:r>
            <w:r>
              <w:rPr>
                <w:rFonts w:hint="eastAsia"/>
                <w:lang w:val="en-US" w:eastAsia="zh-CN"/>
              </w:rPr>
              <w:t>参评</w:t>
            </w:r>
            <w:r>
              <w:rPr>
                <w:rFonts w:hint="eastAsia"/>
              </w:rPr>
              <w:t>代表为法定代表人时则不需要授权委托书</w:t>
            </w:r>
            <w:r>
              <w:rPr>
                <w:rFonts w:hint="eastAsia"/>
                <w:lang w:eastAsia="zh-CN"/>
              </w:rPr>
              <w:t>）、</w:t>
            </w:r>
            <w:r>
              <w:rPr>
                <w:rFonts w:hint="eastAsia"/>
                <w:lang w:val="en-US" w:eastAsia="zh-CN"/>
              </w:rPr>
              <w:t>参评</w:t>
            </w:r>
            <w:r>
              <w:rPr>
                <w:rFonts w:hint="eastAsia"/>
                <w:lang w:eastAsia="zh-CN"/>
              </w:rPr>
              <w:t>承诺书、</w:t>
            </w:r>
            <w:r>
              <w:rPr>
                <w:rFonts w:hint="eastAsia"/>
                <w:lang w:val="en-US" w:eastAsia="zh-CN"/>
              </w:rPr>
              <w:t>参评单位代表</w:t>
            </w:r>
            <w:r>
              <w:rPr>
                <w:rFonts w:hint="eastAsia"/>
              </w:rPr>
              <w:t>的社保证明</w:t>
            </w:r>
            <w:r>
              <w:rPr>
                <w:rFonts w:hint="eastAsia"/>
                <w:lang w:eastAsia="zh-CN"/>
              </w:rPr>
              <w:t>（</w:t>
            </w:r>
            <w:r>
              <w:rPr>
                <w:rFonts w:hint="eastAsia"/>
                <w:lang w:val="en-US" w:eastAsia="zh-CN"/>
              </w:rPr>
              <w:t>2025</w:t>
            </w:r>
            <w:r>
              <w:rPr>
                <w:rFonts w:hint="eastAsia"/>
              </w:rPr>
              <w:t>年</w:t>
            </w:r>
            <w:r>
              <w:rPr>
                <w:rFonts w:hint="eastAsia"/>
                <w:lang w:val="en-US" w:eastAsia="zh-CN"/>
              </w:rPr>
              <w:t>6月至今</w:t>
            </w:r>
            <w:r>
              <w:rPr>
                <w:rFonts w:hint="eastAsia"/>
              </w:rPr>
              <w:t>任意</w:t>
            </w:r>
            <w:r>
              <w:rPr>
                <w:rFonts w:hint="eastAsia"/>
                <w:lang w:val="en-US" w:eastAsia="zh-CN"/>
              </w:rPr>
              <w:t>3</w:t>
            </w:r>
            <w:r>
              <w:rPr>
                <w:rFonts w:hint="eastAsia"/>
              </w:rPr>
              <w:t>个月</w:t>
            </w:r>
            <w:r>
              <w:rPr>
                <w:rFonts w:hint="eastAsia"/>
                <w:lang w:eastAsia="zh-CN"/>
              </w:rPr>
              <w:t>）</w:t>
            </w:r>
            <w:r>
              <w:rPr>
                <w:rFonts w:hint="eastAsia"/>
              </w:rPr>
              <w:t>复印件</w:t>
            </w:r>
            <w:r>
              <w:rPr>
                <w:rFonts w:hint="eastAsia"/>
                <w:lang w:val="en-US" w:eastAsia="zh-CN"/>
              </w:rPr>
              <w:t>。如果该代表入职不足3个月，则提供其劳动合同复印件</w:t>
            </w:r>
            <w:r>
              <w:rPr>
                <w:rFonts w:hint="eastAsia"/>
              </w:rPr>
              <w:t>。</w:t>
            </w:r>
          </w:p>
        </w:tc>
        <w:tc>
          <w:tcPr>
            <w:tcW w:w="2113" w:type="dxa"/>
            <w:noWrap w:val="0"/>
            <w:vAlign w:val="top"/>
          </w:tcPr>
          <w:p w14:paraId="1B8519AF">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025D0E14">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t>见参评文件第（ ）页</w:t>
            </w:r>
          </w:p>
        </w:tc>
      </w:tr>
      <w:tr w14:paraId="5A517D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73" w:type="dxa"/>
            <w:shd w:val="clear" w:color="auto" w:fill="auto"/>
            <w:noWrap w:val="0"/>
            <w:vAlign w:val="center"/>
          </w:tcPr>
          <w:p w14:paraId="215ED4C4">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5</w:t>
            </w:r>
          </w:p>
        </w:tc>
        <w:tc>
          <w:tcPr>
            <w:tcW w:w="4435" w:type="dxa"/>
            <w:shd w:val="clear" w:color="auto" w:fill="auto"/>
            <w:noWrap w:val="0"/>
            <w:vAlign w:val="center"/>
          </w:tcPr>
          <w:p w14:paraId="174B089D">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eastAsia="宋体"/>
                <w:lang w:val="en-US" w:eastAsia="zh-CN"/>
              </w:rPr>
            </w:pPr>
            <w:r>
              <w:rPr>
                <w:rFonts w:hint="eastAsia"/>
                <w:lang w:eastAsia="zh-CN"/>
              </w:rPr>
              <w:t>参评</w:t>
            </w:r>
            <w:r>
              <w:rPr>
                <w:rFonts w:hint="eastAsia"/>
                <w:lang w:val="en-US" w:eastAsia="zh-CN"/>
              </w:rPr>
              <w:t>单位为非</w:t>
            </w:r>
            <w:r>
              <w:rPr>
                <w:rFonts w:hint="eastAsia"/>
              </w:rPr>
              <w:t>联合体</w:t>
            </w:r>
            <w:r>
              <w:rPr>
                <w:rFonts w:hint="eastAsia"/>
                <w:lang w:eastAsia="zh-CN"/>
              </w:rPr>
              <w:t>参评，承诺不将本项目转包、分包。</w:t>
            </w:r>
            <w:r>
              <w:rPr>
                <w:rFonts w:hint="eastAsia"/>
              </w:rPr>
              <w:t>法定代表人为同一人的两个及两</w:t>
            </w:r>
            <w:bookmarkStart w:id="10" w:name="c0"/>
            <w:bookmarkEnd w:id="10"/>
            <w:r>
              <w:rPr>
                <w:rFonts w:hint="eastAsia"/>
              </w:rPr>
              <w:t>个以上法人，母公司、全资子公司及其控股公司，不同时参与本项目</w:t>
            </w:r>
            <w:r>
              <w:rPr>
                <w:rFonts w:hint="eastAsia"/>
                <w:lang w:eastAsia="zh-CN"/>
              </w:rPr>
              <w:t>（</w:t>
            </w:r>
            <w:r>
              <w:rPr>
                <w:rFonts w:hint="eastAsia"/>
                <w:lang w:val="en-US" w:eastAsia="zh-CN"/>
              </w:rPr>
              <w:t>参评单位承诺书承诺)</w:t>
            </w:r>
            <w:r>
              <w:rPr>
                <w:rFonts w:hint="eastAsia"/>
                <w:lang w:eastAsia="zh-CN"/>
              </w:rPr>
              <w:t>。</w:t>
            </w:r>
          </w:p>
        </w:tc>
        <w:tc>
          <w:tcPr>
            <w:tcW w:w="2113" w:type="dxa"/>
            <w:noWrap w:val="0"/>
            <w:vAlign w:val="top"/>
          </w:tcPr>
          <w:p w14:paraId="0D40D8B8">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1DECD204">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t>见参评文件第（ ）页</w:t>
            </w:r>
          </w:p>
        </w:tc>
      </w:tr>
      <w:tr w14:paraId="6048BE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573" w:type="dxa"/>
            <w:shd w:val="clear" w:color="auto" w:fill="auto"/>
            <w:noWrap w:val="0"/>
            <w:vAlign w:val="center"/>
          </w:tcPr>
          <w:p w14:paraId="2B2CAAB9">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6</w:t>
            </w:r>
          </w:p>
        </w:tc>
        <w:tc>
          <w:tcPr>
            <w:tcW w:w="4435" w:type="dxa"/>
            <w:noWrap w:val="0"/>
            <w:vAlign w:val="center"/>
          </w:tcPr>
          <w:p w14:paraId="1C2BBA70">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lang w:val="en-US" w:eastAsia="zh-CN"/>
              </w:rPr>
            </w:pPr>
            <w:r>
              <w:rPr>
                <w:rFonts w:hint="eastAsia"/>
                <w:lang w:eastAsia="zh-CN"/>
              </w:rPr>
              <w:t>在广东电力交易中心发布的2025年广东电力市场信用评价中等级为A级或以上。</w:t>
            </w:r>
          </w:p>
        </w:tc>
        <w:tc>
          <w:tcPr>
            <w:tcW w:w="2113" w:type="dxa"/>
            <w:noWrap w:val="0"/>
            <w:vAlign w:val="top"/>
          </w:tcPr>
          <w:p w14:paraId="242DACBC">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109C21F6">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t>见参评文件第（ ）页</w:t>
            </w:r>
          </w:p>
        </w:tc>
      </w:tr>
      <w:tr w14:paraId="6F4635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73" w:type="dxa"/>
            <w:shd w:val="clear" w:color="auto" w:fill="auto"/>
            <w:noWrap w:val="0"/>
            <w:vAlign w:val="center"/>
          </w:tcPr>
          <w:p w14:paraId="4693A7B3">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7</w:t>
            </w:r>
          </w:p>
        </w:tc>
        <w:tc>
          <w:tcPr>
            <w:tcW w:w="4435" w:type="dxa"/>
            <w:shd w:val="clear" w:color="auto" w:fill="auto"/>
            <w:noWrap w:val="0"/>
            <w:vAlign w:val="center"/>
          </w:tcPr>
          <w:p w14:paraId="4398B145">
            <w:pPr>
              <w:pStyle w:val="24"/>
              <w:keepNext w:val="0"/>
              <w:keepLines w:val="0"/>
              <w:pageBreakBefore w:val="0"/>
              <w:widowControl w:val="0"/>
              <w:kinsoku/>
              <w:overflowPunct/>
              <w:topLinePunct w:val="0"/>
              <w:autoSpaceDE/>
              <w:autoSpaceDN/>
              <w:bidi w:val="0"/>
              <w:adjustRightInd w:val="0"/>
              <w:snapToGrid w:val="0"/>
              <w:jc w:val="left"/>
              <w:textAlignment w:val="auto"/>
              <w:rPr>
                <w:rFonts w:hint="eastAsia"/>
                <w:lang w:val="en-US" w:eastAsia="zh-CN"/>
              </w:rPr>
            </w:pPr>
            <w:r>
              <w:rPr>
                <w:rFonts w:hint="eastAsia"/>
              </w:rPr>
              <w:t>售电公司电力交易履约担保凭证，初始信用额度合计不低于1600万元，有效期覆盖2026年1月1日至2027年3月31日。</w:t>
            </w:r>
          </w:p>
        </w:tc>
        <w:tc>
          <w:tcPr>
            <w:tcW w:w="2113" w:type="dxa"/>
            <w:noWrap w:val="0"/>
            <w:vAlign w:val="top"/>
          </w:tcPr>
          <w:p w14:paraId="7150D0F3">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0E4070CF">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t>见参评文件第（ ）页</w:t>
            </w:r>
          </w:p>
        </w:tc>
      </w:tr>
      <w:tr w14:paraId="28352C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73" w:type="dxa"/>
            <w:shd w:val="clear" w:color="auto" w:fill="auto"/>
            <w:noWrap w:val="0"/>
            <w:vAlign w:val="center"/>
          </w:tcPr>
          <w:p w14:paraId="1B982CD1">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lang w:val="en-US" w:eastAsia="zh-CN"/>
              </w:rPr>
            </w:pPr>
            <w:r>
              <w:rPr>
                <w:rFonts w:hint="eastAsia"/>
                <w:lang w:val="en-US" w:eastAsia="zh-CN"/>
              </w:rPr>
              <w:t>8</w:t>
            </w:r>
          </w:p>
        </w:tc>
        <w:tc>
          <w:tcPr>
            <w:tcW w:w="4435" w:type="dxa"/>
            <w:shd w:val="clear" w:color="auto" w:fill="auto"/>
            <w:noWrap w:val="0"/>
            <w:vAlign w:val="center"/>
          </w:tcPr>
          <w:p w14:paraId="0ACAB206">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lang w:val="en-US" w:eastAsia="zh-CN"/>
              </w:rPr>
            </w:pPr>
            <w:r>
              <w:rPr>
                <w:rFonts w:hint="eastAsia"/>
                <w:lang w:eastAsia="zh-CN"/>
              </w:rPr>
              <w:t>缴纳参评保证金壹拾肆万元整（¥140,000.00）：通过银行转账至指定账户，需附转账凭证复印件；或者提交以“中山市公共交通运输集团有限公司”为受益人、由在中山市设有分支机构的银行开具的不可撤销见索即付保函，若为纸质保函须提供原件，若为电子保函则应彩色打印成纸质文件并同时附上银行发送的保函通知截图或验证二维码。</w:t>
            </w:r>
          </w:p>
        </w:tc>
        <w:tc>
          <w:tcPr>
            <w:tcW w:w="2113" w:type="dxa"/>
            <w:noWrap w:val="0"/>
            <w:vAlign w:val="top"/>
          </w:tcPr>
          <w:p w14:paraId="07E6F356">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7A6E64FE">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t>见参评文件第（ ）页</w:t>
            </w:r>
          </w:p>
        </w:tc>
      </w:tr>
      <w:tr w14:paraId="64F595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3" w:type="dxa"/>
            <w:shd w:val="clear" w:color="auto" w:fill="auto"/>
            <w:noWrap w:val="0"/>
            <w:vAlign w:val="center"/>
          </w:tcPr>
          <w:p w14:paraId="51220A6D">
            <w:pPr>
              <w:pStyle w:val="24"/>
              <w:keepNext w:val="0"/>
              <w:keepLines w:val="0"/>
              <w:pageBreakBefore w:val="0"/>
              <w:widowControl w:val="0"/>
              <w:kinsoku/>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9</w:t>
            </w:r>
          </w:p>
        </w:tc>
        <w:tc>
          <w:tcPr>
            <w:tcW w:w="4435" w:type="dxa"/>
            <w:shd w:val="clear" w:color="auto" w:fill="auto"/>
            <w:noWrap w:val="0"/>
            <w:vAlign w:val="center"/>
          </w:tcPr>
          <w:p w14:paraId="57B1E770">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default"/>
                <w:lang w:val="en-US" w:eastAsia="zh-CN"/>
              </w:rPr>
            </w:pPr>
            <w:r>
              <w:rPr>
                <w:rFonts w:hint="eastAsia"/>
                <w:lang w:val="en-US" w:eastAsia="zh-CN"/>
              </w:rPr>
              <w:t>报价不高于372厘/千瓦时</w:t>
            </w:r>
          </w:p>
        </w:tc>
        <w:tc>
          <w:tcPr>
            <w:tcW w:w="2113" w:type="dxa"/>
            <w:noWrap w:val="0"/>
            <w:vAlign w:val="top"/>
          </w:tcPr>
          <w:p w14:paraId="3606DC2C">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29B897AA">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t>见参评文件第（ ）页</w:t>
            </w:r>
          </w:p>
        </w:tc>
      </w:tr>
      <w:tr w14:paraId="41DCE2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3" w:type="dxa"/>
            <w:shd w:val="clear" w:color="auto" w:fill="auto"/>
            <w:noWrap w:val="0"/>
            <w:vAlign w:val="center"/>
          </w:tcPr>
          <w:p w14:paraId="2FF90969">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sz w:val="24"/>
                <w:szCs w:val="24"/>
                <w:lang w:val="en-US" w:eastAsia="zh-CN"/>
              </w:rPr>
            </w:pPr>
            <w:r>
              <w:rPr>
                <w:rFonts w:hint="eastAsia"/>
                <w:sz w:val="24"/>
                <w:szCs w:val="24"/>
                <w:lang w:val="en-US" w:eastAsia="zh-CN"/>
              </w:rPr>
              <w:t>10</w:t>
            </w:r>
          </w:p>
        </w:tc>
        <w:tc>
          <w:tcPr>
            <w:tcW w:w="4435" w:type="dxa"/>
            <w:shd w:val="clear" w:color="auto" w:fill="auto"/>
            <w:noWrap w:val="0"/>
            <w:vAlign w:val="center"/>
          </w:tcPr>
          <w:p w14:paraId="59BF3FA6">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lang w:val="en-US" w:eastAsia="zh-CN"/>
              </w:rPr>
            </w:pPr>
            <w:r>
              <w:rPr>
                <w:rFonts w:hint="eastAsia"/>
              </w:rPr>
              <w:t>变压器专业巡检服务</w:t>
            </w:r>
            <w:r>
              <w:rPr>
                <w:rFonts w:hint="eastAsia"/>
                <w:lang w:val="en-US" w:eastAsia="zh-CN"/>
              </w:rPr>
              <w:t>，</w:t>
            </w:r>
            <w:r>
              <w:rPr>
                <w:rFonts w:hint="eastAsia"/>
              </w:rPr>
              <w:t>光伏组件清洗服务</w:t>
            </w:r>
          </w:p>
        </w:tc>
        <w:tc>
          <w:tcPr>
            <w:tcW w:w="2113" w:type="dxa"/>
            <w:noWrap w:val="0"/>
            <w:vAlign w:val="top"/>
          </w:tcPr>
          <w:p w14:paraId="3051CCA1">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5BE0CA43">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t>见参评文件第（ ）页</w:t>
            </w:r>
          </w:p>
        </w:tc>
      </w:tr>
      <w:tr w14:paraId="42001C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3" w:type="dxa"/>
            <w:shd w:val="clear" w:color="auto" w:fill="auto"/>
            <w:noWrap w:val="0"/>
            <w:vAlign w:val="center"/>
          </w:tcPr>
          <w:p w14:paraId="6EC8757F">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sz w:val="24"/>
                <w:szCs w:val="24"/>
                <w:lang w:val="en-US" w:eastAsia="zh-CN"/>
              </w:rPr>
            </w:pPr>
            <w:r>
              <w:rPr>
                <w:rFonts w:hint="eastAsia"/>
                <w:sz w:val="24"/>
                <w:szCs w:val="24"/>
                <w:lang w:val="en-US" w:eastAsia="zh-CN"/>
              </w:rPr>
              <w:t>11</w:t>
            </w:r>
          </w:p>
        </w:tc>
        <w:tc>
          <w:tcPr>
            <w:tcW w:w="4435" w:type="dxa"/>
            <w:shd w:val="clear" w:color="auto" w:fill="auto"/>
            <w:noWrap w:val="0"/>
            <w:vAlign w:val="center"/>
          </w:tcPr>
          <w:p w14:paraId="2F5C4E07">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lang w:val="en-US" w:eastAsia="zh-CN"/>
              </w:rPr>
            </w:pPr>
            <w:r>
              <w:rPr>
                <w:rFonts w:hint="eastAsia"/>
              </w:rPr>
              <w:t>屋顶光伏建设项目</w:t>
            </w:r>
          </w:p>
        </w:tc>
        <w:tc>
          <w:tcPr>
            <w:tcW w:w="2113" w:type="dxa"/>
            <w:noWrap w:val="0"/>
            <w:vAlign w:val="top"/>
          </w:tcPr>
          <w:p w14:paraId="3D9E79FA">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1EC06FDF">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t>见参评文件第（ ）页</w:t>
            </w:r>
          </w:p>
        </w:tc>
      </w:tr>
      <w:tr w14:paraId="515F5B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573" w:type="dxa"/>
            <w:shd w:val="clear" w:color="auto" w:fill="auto"/>
            <w:noWrap w:val="0"/>
            <w:vAlign w:val="center"/>
          </w:tcPr>
          <w:p w14:paraId="650CFB79">
            <w:pPr>
              <w:pStyle w:val="24"/>
              <w:keepNext w:val="0"/>
              <w:keepLines w:val="0"/>
              <w:pageBreakBefore w:val="0"/>
              <w:widowControl w:val="0"/>
              <w:kinsoku/>
              <w:overflowPunct/>
              <w:topLinePunct w:val="0"/>
              <w:autoSpaceDE/>
              <w:autoSpaceDN/>
              <w:bidi w:val="0"/>
              <w:adjustRightInd w:val="0"/>
              <w:snapToGrid w:val="0"/>
              <w:jc w:val="center"/>
              <w:textAlignment w:val="auto"/>
              <w:rPr>
                <w:rFonts w:hint="default"/>
                <w:sz w:val="24"/>
                <w:szCs w:val="24"/>
                <w:lang w:val="en-US" w:eastAsia="zh-CN"/>
              </w:rPr>
            </w:pPr>
            <w:r>
              <w:rPr>
                <w:rFonts w:hint="eastAsia"/>
                <w:sz w:val="24"/>
                <w:szCs w:val="24"/>
                <w:lang w:val="en-US" w:eastAsia="zh-CN"/>
              </w:rPr>
              <w:t>12</w:t>
            </w:r>
          </w:p>
        </w:tc>
        <w:tc>
          <w:tcPr>
            <w:tcW w:w="4435" w:type="dxa"/>
            <w:shd w:val="clear" w:color="auto" w:fill="auto"/>
            <w:noWrap w:val="0"/>
            <w:vAlign w:val="center"/>
          </w:tcPr>
          <w:p w14:paraId="666135B1">
            <w:pPr>
              <w:pStyle w:val="24"/>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lang w:val="en-US" w:eastAsia="zh-CN"/>
              </w:rPr>
            </w:pPr>
            <w:r>
              <w:rPr>
                <w:rFonts w:hint="eastAsia"/>
                <w:lang w:eastAsia="zh-CN"/>
              </w:rPr>
              <w:t>同意</w:t>
            </w:r>
            <w:r>
              <w:rPr>
                <w:rFonts w:hint="eastAsia"/>
              </w:rPr>
              <w:t>签订</w:t>
            </w:r>
            <w:r>
              <w:rPr>
                <w:rFonts w:hint="eastAsia"/>
                <w:lang w:eastAsia="zh-CN"/>
              </w:rPr>
              <w:t>线上合同及</w:t>
            </w:r>
            <w:r>
              <w:rPr>
                <w:rFonts w:hint="eastAsia"/>
              </w:rPr>
              <w:t>补充合同</w:t>
            </w:r>
          </w:p>
        </w:tc>
        <w:tc>
          <w:tcPr>
            <w:tcW w:w="2113" w:type="dxa"/>
            <w:noWrap w:val="0"/>
            <w:vAlign w:val="top"/>
          </w:tcPr>
          <w:p w14:paraId="42BC09FD">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rPr>
                <w:rFonts w:hint="eastAsia"/>
                <w:lang w:eastAsia="zh-CN"/>
              </w:rPr>
              <w:t>□</w:t>
            </w:r>
            <w:r>
              <w:t>通过</w:t>
            </w:r>
            <w:r>
              <w:rPr>
                <w:rFonts w:hint="eastAsia"/>
                <w:lang w:val="en-US" w:eastAsia="zh-CN"/>
              </w:rPr>
              <w:t xml:space="preserve"> </w:t>
            </w:r>
            <w:r>
              <w:rPr>
                <w:rFonts w:hint="eastAsia"/>
                <w:lang w:eastAsia="zh-CN"/>
              </w:rPr>
              <w:t>□</w:t>
            </w:r>
            <w:r>
              <w:t>不通过</w:t>
            </w:r>
          </w:p>
        </w:tc>
        <w:tc>
          <w:tcPr>
            <w:tcW w:w="2608" w:type="dxa"/>
            <w:noWrap w:val="0"/>
            <w:vAlign w:val="top"/>
          </w:tcPr>
          <w:p w14:paraId="1AB91740">
            <w:pPr>
              <w:pStyle w:val="24"/>
              <w:keepNext w:val="0"/>
              <w:keepLines w:val="0"/>
              <w:pageBreakBefore w:val="0"/>
              <w:widowControl w:val="0"/>
              <w:kinsoku/>
              <w:wordWrap/>
              <w:overflowPunct/>
              <w:topLinePunct w:val="0"/>
              <w:autoSpaceDE/>
              <w:autoSpaceDN/>
              <w:bidi w:val="0"/>
              <w:adjustRightInd w:val="0"/>
              <w:snapToGrid w:val="0"/>
              <w:ind w:left="0" w:leftChars="0"/>
              <w:jc w:val="left"/>
              <w:textAlignment w:val="auto"/>
            </w:pPr>
            <w:r>
              <w:t>见参评文件第（ ）页</w:t>
            </w:r>
          </w:p>
        </w:tc>
      </w:tr>
    </w:tbl>
    <w:p w14:paraId="70223878">
      <w:pPr>
        <w:rPr>
          <w:rFonts w:hint="default"/>
          <w:highlight w:val="none"/>
          <w:lang w:val="en-US" w:eastAsia="zh-CN"/>
        </w:rPr>
      </w:pPr>
    </w:p>
    <w:p w14:paraId="3FC3DF72">
      <w:pPr>
        <w:ind w:firstLine="0" w:firstLineChars="0"/>
        <w:rPr>
          <w:rFonts w:hint="default"/>
          <w:highlight w:val="none"/>
          <w:lang w:val="en-US" w:eastAsia="zh-CN"/>
        </w:rPr>
      </w:pPr>
    </w:p>
    <w:p w14:paraId="0FD5ABA1">
      <w:pPr>
        <w:pStyle w:val="25"/>
        <w:bidi w:val="0"/>
        <w:rPr>
          <w:rFonts w:hint="default"/>
          <w:highlight w:val="none"/>
          <w:lang w:val="en-US" w:eastAsia="zh-CN"/>
        </w:rPr>
      </w:pPr>
      <w:bookmarkStart w:id="11" w:name="_Toc5325"/>
      <w:bookmarkStart w:id="12" w:name="_Toc3789"/>
      <w:bookmarkStart w:id="13" w:name="_Toc3819"/>
      <w:bookmarkStart w:id="14" w:name="_Toc2808"/>
      <w:bookmarkStart w:id="15" w:name="_Toc4956"/>
      <w:r>
        <w:rPr>
          <w:rFonts w:hint="eastAsia" w:ascii="宋体" w:hAnsi="宋体" w:eastAsia="宋体" w:cs="宋体"/>
          <w:sz w:val="24"/>
          <w:szCs w:val="24"/>
          <w:highlight w:val="none"/>
        </w:rPr>
        <w:t>商务技术部分评审自查表</w:t>
      </w:r>
      <w:bookmarkEnd w:id="11"/>
      <w:bookmarkEnd w:id="12"/>
      <w:bookmarkEnd w:id="13"/>
      <w:bookmarkEnd w:id="14"/>
      <w:bookmarkEnd w:id="15"/>
    </w:p>
    <w:tbl>
      <w:tblPr>
        <w:tblStyle w:val="18"/>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1709"/>
        <w:gridCol w:w="697"/>
        <w:gridCol w:w="4253"/>
        <w:gridCol w:w="697"/>
        <w:gridCol w:w="1704"/>
      </w:tblGrid>
      <w:tr w14:paraId="12C5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7E34">
            <w:pPr>
              <w:pStyle w:val="24"/>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lang w:val="en-US" w:eastAsia="zh-CN"/>
              </w:rPr>
              <w:br w:type="page"/>
            </w:r>
            <w:r>
              <w:rPr>
                <w:rFonts w:hint="eastAsia"/>
                <w:lang w:val="en-US" w:eastAsia="zh-CN"/>
              </w:rPr>
              <w:t>序号</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3973">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评审内容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8D82">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分值</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359D">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评分标准</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6D63">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自评得分</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F728">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证明资料</w:t>
            </w:r>
          </w:p>
        </w:tc>
      </w:tr>
      <w:tr w14:paraId="04AE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C657">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881">
            <w:pPr>
              <w:pStyle w:val="24"/>
              <w:bidi w:val="0"/>
              <w:ind w:firstLine="0" w:firstLineChars="0"/>
              <w:rPr>
                <w:rFonts w:hint="eastAsia"/>
              </w:rPr>
            </w:pPr>
            <w:r>
              <w:rPr>
                <w:rFonts w:hint="eastAsia"/>
                <w:lang w:val="en-US" w:eastAsia="zh-CN"/>
              </w:rPr>
              <w:t>信用评价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21D3">
            <w:pPr>
              <w:pStyle w:val="24"/>
              <w:bidi w:val="0"/>
              <w:ind w:firstLine="0" w:firstLineChars="0"/>
              <w:rPr>
                <w:rFonts w:hint="eastAsia"/>
              </w:rPr>
            </w:pPr>
            <w:r>
              <w:rPr>
                <w:rFonts w:hint="eastAsia"/>
                <w:lang w:val="en-US" w:eastAsia="zh-CN"/>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49B7">
            <w:pPr>
              <w:pStyle w:val="24"/>
              <w:bidi w:val="0"/>
              <w:ind w:firstLine="0" w:firstLineChars="0"/>
              <w:jc w:val="left"/>
              <w:rPr>
                <w:rFonts w:hint="eastAsia"/>
              </w:rPr>
            </w:pPr>
            <w:r>
              <w:rPr>
                <w:rFonts w:hint="eastAsia"/>
                <w:lang w:val="en-US" w:eastAsia="zh-CN"/>
              </w:rPr>
              <w:t>广东电力市场2025年信用评价结果，信用等级为AA的，得1分；信用等级为AAA的，得2分</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B1BF">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66BA">
            <w:pPr>
              <w:pStyle w:val="24"/>
              <w:keepNext w:val="0"/>
              <w:keepLines w:val="0"/>
              <w:pageBreakBefore w:val="0"/>
              <w:widowControl w:val="0"/>
              <w:kinsoku/>
              <w:wordWrap/>
              <w:overflowPunct/>
              <w:topLinePunct w:val="0"/>
              <w:autoSpaceDE/>
              <w:autoSpaceDN/>
              <w:bidi w:val="0"/>
              <w:adjustRightInd w:val="0"/>
              <w:snapToGrid w:val="0"/>
              <w:ind w:left="0"/>
              <w:jc w:val="left"/>
              <w:textAlignment w:val="auto"/>
            </w:pPr>
            <w:r>
              <w:t>请标注证明资料页码</w:t>
            </w:r>
          </w:p>
          <w:p w14:paraId="20D4EA7F">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r>
              <w:t>见参评文件第（ ）页</w:t>
            </w:r>
          </w:p>
        </w:tc>
      </w:tr>
      <w:tr w14:paraId="37ED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DDBB">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F9E6">
            <w:pPr>
              <w:pStyle w:val="24"/>
              <w:bidi w:val="0"/>
              <w:ind w:firstLine="0" w:firstLineChars="0"/>
              <w:rPr>
                <w:rFonts w:hint="eastAsia"/>
              </w:rPr>
            </w:pPr>
            <w:r>
              <w:rPr>
                <w:rFonts w:hint="eastAsia"/>
                <w:lang w:val="en-US" w:eastAsia="zh-CN"/>
              </w:rPr>
              <w:t>发售电一体</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E19D">
            <w:pPr>
              <w:pStyle w:val="24"/>
              <w:bidi w:val="0"/>
              <w:ind w:firstLine="0" w:firstLineChars="0"/>
              <w:rPr>
                <w:rFonts w:hint="eastAsia"/>
              </w:rPr>
            </w:pPr>
            <w:r>
              <w:rPr>
                <w:rFonts w:hint="eastAsia"/>
                <w:lang w:val="en-US" w:eastAsia="zh-CN"/>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32B4">
            <w:pPr>
              <w:pStyle w:val="24"/>
              <w:bidi w:val="0"/>
              <w:ind w:firstLine="0" w:firstLineChars="0"/>
              <w:jc w:val="left"/>
              <w:rPr>
                <w:rFonts w:hint="eastAsia"/>
              </w:rPr>
            </w:pPr>
            <w:r>
              <w:rPr>
                <w:rFonts w:hint="eastAsia"/>
                <w:lang w:val="en-US" w:eastAsia="zh-CN"/>
              </w:rPr>
              <w:t>根据广东电力交易中心发布的《关于2025年广东电力市场同一集团发电企业和售电公司关联关系公示的通知》，售电公司有关联发电企业的，得2分</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E3AC">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250C">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r>
              <w:t>见参评文件第（ ）页</w:t>
            </w:r>
          </w:p>
        </w:tc>
      </w:tr>
      <w:tr w14:paraId="4B00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2524">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DD13">
            <w:pPr>
              <w:pStyle w:val="24"/>
              <w:bidi w:val="0"/>
              <w:ind w:firstLine="0" w:firstLineChars="0"/>
              <w:rPr>
                <w:rFonts w:hint="eastAsia"/>
              </w:rPr>
            </w:pPr>
            <w:r>
              <w:rPr>
                <w:rFonts w:hint="eastAsia"/>
                <w:lang w:val="en-US" w:eastAsia="zh-CN"/>
              </w:rPr>
              <w:t>2025年1-10月份代理零售电量</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DE0F">
            <w:pPr>
              <w:pStyle w:val="24"/>
              <w:bidi w:val="0"/>
              <w:ind w:firstLine="0" w:firstLineChars="0"/>
              <w:rPr>
                <w:rFonts w:hint="eastAsia"/>
              </w:rPr>
            </w:pPr>
            <w:r>
              <w:rPr>
                <w:rFonts w:hint="eastAsia"/>
                <w:lang w:val="en-US" w:eastAsia="zh-CN"/>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909A">
            <w:pPr>
              <w:pStyle w:val="24"/>
              <w:bidi w:val="0"/>
              <w:ind w:firstLine="0" w:firstLineChars="0"/>
              <w:jc w:val="left"/>
              <w:rPr>
                <w:rFonts w:hint="eastAsia"/>
              </w:rPr>
            </w:pPr>
            <w:r>
              <w:rPr>
                <w:rFonts w:hint="eastAsia"/>
                <w:lang w:val="en-US" w:eastAsia="zh-CN"/>
              </w:rPr>
              <w:t>成交电量20亿千瓦时及以上的，得1分</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B6D3">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155F">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en-US" w:eastAsia="zh-CN"/>
              </w:rPr>
            </w:pPr>
            <w:r>
              <w:t>见参评文件第（ ）页</w:t>
            </w:r>
          </w:p>
        </w:tc>
      </w:tr>
      <w:tr w14:paraId="713A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3EE9">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2ED">
            <w:pPr>
              <w:pStyle w:val="24"/>
              <w:bidi w:val="0"/>
              <w:ind w:firstLine="0" w:firstLineChars="0"/>
              <w:rPr>
                <w:rFonts w:hint="eastAsia"/>
              </w:rPr>
            </w:pPr>
            <w:r>
              <w:rPr>
                <w:rFonts w:hint="eastAsia"/>
                <w:lang w:eastAsia="zh-CN"/>
              </w:rPr>
              <w:t>★增值服务：</w:t>
            </w:r>
            <w:r>
              <w:rPr>
                <w:rFonts w:hint="eastAsia"/>
                <w:lang w:val="en-US" w:eastAsia="zh-CN"/>
              </w:rPr>
              <w:t>变压器专业巡检服务，光伏组件清洗服务</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23EA">
            <w:pPr>
              <w:pStyle w:val="24"/>
              <w:bidi w:val="0"/>
              <w:ind w:firstLine="0" w:firstLineChars="0"/>
              <w:rPr>
                <w:rFonts w:hint="eastAsia"/>
              </w:rPr>
            </w:pPr>
            <w:r>
              <w:rPr>
                <w:rFonts w:hint="eastAsia"/>
                <w:lang w:val="en-US" w:eastAsia="zh-CN"/>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6D3F">
            <w:pPr>
              <w:pStyle w:val="24"/>
              <w:bidi w:val="0"/>
              <w:jc w:val="left"/>
              <w:rPr>
                <w:rFonts w:hint="eastAsia"/>
                <w:lang w:val="en-US" w:eastAsia="zh-CN"/>
              </w:rPr>
            </w:pPr>
            <w:r>
              <w:rPr>
                <w:rFonts w:hint="eastAsia"/>
                <w:lang w:val="en-US" w:eastAsia="zh-CN"/>
              </w:rPr>
              <w:t>为需求方32台变压器提供专业化巡检，提供年度检测报告、安全评估清单及可行性整改方案。</w:t>
            </w:r>
          </w:p>
          <w:p w14:paraId="031FAE93">
            <w:pPr>
              <w:pStyle w:val="24"/>
              <w:bidi w:val="0"/>
              <w:ind w:firstLine="0" w:firstLineChars="0"/>
              <w:jc w:val="left"/>
              <w:rPr>
                <w:rFonts w:hint="eastAsia"/>
              </w:rPr>
            </w:pPr>
            <w:r>
              <w:rPr>
                <w:rFonts w:hint="eastAsia"/>
                <w:lang w:val="en-US" w:eastAsia="zh-CN"/>
              </w:rPr>
              <w:t>为需求方深中跨市公交博览中心枢纽站屋顶47.415kW光伏（无楼梯）2026年度提供清洗服务不少于3次。</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2484">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D483">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en-US" w:eastAsia="zh-CN"/>
              </w:rPr>
            </w:pPr>
            <w:r>
              <w:t>见参评文件第（ ）页</w:t>
            </w:r>
          </w:p>
        </w:tc>
      </w:tr>
      <w:tr w14:paraId="502E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26A2">
            <w:pPr>
              <w:pStyle w:val="24"/>
              <w:keepNext w:val="0"/>
              <w:keepLines w:val="0"/>
              <w:pageBreakBefore w:val="0"/>
              <w:widowControl/>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5</w:t>
            </w:r>
          </w:p>
        </w:tc>
        <w:tc>
          <w:tcPr>
            <w:tcW w:w="1709" w:type="dxa"/>
            <w:tcBorders>
              <w:top w:val="single" w:color="000000" w:sz="4" w:space="0"/>
              <w:left w:val="single" w:color="000000" w:sz="4" w:space="0"/>
              <w:right w:val="single" w:color="000000" w:sz="4" w:space="0"/>
            </w:tcBorders>
            <w:shd w:val="clear" w:color="auto" w:fill="auto"/>
            <w:vAlign w:val="center"/>
          </w:tcPr>
          <w:p w14:paraId="42468BA6">
            <w:pPr>
              <w:pStyle w:val="24"/>
              <w:bidi w:val="0"/>
              <w:ind w:firstLine="0" w:firstLineChars="0"/>
              <w:rPr>
                <w:rFonts w:hint="eastAsia"/>
              </w:rPr>
            </w:pPr>
            <w:r>
              <w:rPr>
                <w:rFonts w:hint="eastAsia"/>
                <w:lang w:eastAsia="zh-CN"/>
              </w:rPr>
              <w:t>★增值服务：</w:t>
            </w:r>
            <w:r>
              <w:rPr>
                <w:rFonts w:hint="eastAsia"/>
                <w:lang w:val="en-US" w:eastAsia="zh-CN"/>
              </w:rPr>
              <w:t>屋顶光伏建设项目</w:t>
            </w:r>
          </w:p>
        </w:tc>
        <w:tc>
          <w:tcPr>
            <w:tcW w:w="697" w:type="dxa"/>
            <w:tcBorders>
              <w:top w:val="single" w:color="000000" w:sz="4" w:space="0"/>
              <w:left w:val="single" w:color="000000" w:sz="4" w:space="0"/>
              <w:right w:val="single" w:color="000000" w:sz="4" w:space="0"/>
            </w:tcBorders>
            <w:shd w:val="clear" w:color="auto" w:fill="auto"/>
            <w:noWrap/>
            <w:vAlign w:val="center"/>
          </w:tcPr>
          <w:p w14:paraId="721DFD4F">
            <w:pPr>
              <w:pStyle w:val="24"/>
              <w:bidi w:val="0"/>
              <w:ind w:firstLine="0" w:firstLineChars="0"/>
              <w:rPr>
                <w:rFonts w:hint="eastAsia"/>
              </w:rPr>
            </w:pPr>
            <w:r>
              <w:rPr>
                <w:rFonts w:hint="eastAsia"/>
                <w:lang w:val="en-US" w:eastAsia="zh-CN"/>
              </w:rPr>
              <w:t>12</w:t>
            </w:r>
          </w:p>
        </w:tc>
        <w:tc>
          <w:tcPr>
            <w:tcW w:w="4253" w:type="dxa"/>
            <w:tcBorders>
              <w:top w:val="single" w:color="000000" w:sz="4" w:space="0"/>
              <w:left w:val="single" w:color="000000" w:sz="4" w:space="0"/>
              <w:right w:val="single" w:color="000000" w:sz="4" w:space="0"/>
            </w:tcBorders>
            <w:shd w:val="clear" w:color="auto" w:fill="auto"/>
            <w:vAlign w:val="center"/>
          </w:tcPr>
          <w:p w14:paraId="78B13351">
            <w:pPr>
              <w:pStyle w:val="24"/>
              <w:bidi w:val="0"/>
              <w:ind w:firstLine="0" w:firstLineChars="0"/>
              <w:jc w:val="left"/>
              <w:rPr>
                <w:rFonts w:hint="eastAsia"/>
              </w:rPr>
            </w:pPr>
            <w:r>
              <w:rPr>
                <w:rFonts w:hint="eastAsia"/>
                <w:lang w:val="en-US" w:eastAsia="zh-CN"/>
              </w:rPr>
              <w:t>为需求方多个公交站场建设至少一项屋顶光伏项目，光伏项目建成后，资产移交需求方，日常运营管理及全部运营收益由需求方负责和享有。承担坦洲站场的，得8.5分，承担城南站场的，得3.5分。</w:t>
            </w:r>
          </w:p>
        </w:tc>
        <w:tc>
          <w:tcPr>
            <w:tcW w:w="697" w:type="dxa"/>
            <w:tcBorders>
              <w:top w:val="single" w:color="000000" w:sz="4" w:space="0"/>
              <w:left w:val="single" w:color="000000" w:sz="4" w:space="0"/>
              <w:right w:val="single" w:color="000000" w:sz="4" w:space="0"/>
            </w:tcBorders>
            <w:shd w:val="clear" w:color="auto" w:fill="auto"/>
            <w:vAlign w:val="center"/>
          </w:tcPr>
          <w:p w14:paraId="5B7C9B44">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p>
        </w:tc>
        <w:tc>
          <w:tcPr>
            <w:tcW w:w="1704" w:type="dxa"/>
            <w:tcBorders>
              <w:top w:val="single" w:color="000000" w:sz="4" w:space="0"/>
              <w:left w:val="single" w:color="000000" w:sz="4" w:space="0"/>
              <w:right w:val="single" w:color="000000" w:sz="4" w:space="0"/>
            </w:tcBorders>
            <w:shd w:val="clear" w:color="auto" w:fill="auto"/>
            <w:vAlign w:val="center"/>
          </w:tcPr>
          <w:p w14:paraId="494BB42C">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en-US" w:eastAsia="zh-CN"/>
              </w:rPr>
            </w:pPr>
            <w:r>
              <w:t>见参评文件第（ ）页</w:t>
            </w:r>
          </w:p>
        </w:tc>
      </w:tr>
      <w:tr w14:paraId="09E7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E149">
            <w:pPr>
              <w:pStyle w:val="2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795C">
            <w:pPr>
              <w:pStyle w:val="24"/>
              <w:bidi w:val="0"/>
              <w:ind w:firstLine="0" w:firstLineChars="0"/>
              <w:rPr>
                <w:rFonts w:hint="eastAsia"/>
              </w:rPr>
            </w:pPr>
            <w:r>
              <w:rPr>
                <w:rFonts w:hint="eastAsia"/>
                <w:lang w:eastAsia="zh-CN"/>
              </w:rPr>
              <w:t>增值服务：充电站建设项目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3238">
            <w:pPr>
              <w:pStyle w:val="24"/>
              <w:bidi w:val="0"/>
              <w:ind w:firstLine="0" w:firstLineChars="0"/>
              <w:rPr>
                <w:rFonts w:hint="eastAsia"/>
              </w:rPr>
            </w:pPr>
            <w:r>
              <w:rPr>
                <w:rFonts w:hint="eastAsia"/>
                <w:lang w:val="en-US" w:eastAsia="zh-CN"/>
              </w:rPr>
              <w:t>40</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131">
            <w:pPr>
              <w:pStyle w:val="24"/>
              <w:bidi w:val="0"/>
              <w:jc w:val="left"/>
              <w:rPr>
                <w:rFonts w:hint="eastAsia"/>
                <w:lang w:val="en-US" w:eastAsia="zh-CN"/>
              </w:rPr>
            </w:pPr>
            <w:r>
              <w:rPr>
                <w:rFonts w:hint="eastAsia"/>
                <w:lang w:val="en-US" w:eastAsia="zh-CN"/>
              </w:rPr>
              <w:t>为需求方公交站场（枢纽站）建设充电站，充电站建成后，资产移交需求方，日常运营管理及全部运营收益由需求方负责和享有。</w:t>
            </w:r>
          </w:p>
          <w:p w14:paraId="0B5A3AC9">
            <w:pPr>
              <w:pStyle w:val="24"/>
              <w:bidi w:val="0"/>
              <w:jc w:val="left"/>
              <w:rPr>
                <w:rFonts w:hint="eastAsia"/>
                <w:lang w:val="en-US" w:eastAsia="zh-CN"/>
              </w:rPr>
            </w:pPr>
            <w:r>
              <w:rPr>
                <w:rFonts w:hint="eastAsia"/>
                <w:lang w:val="en-US" w:eastAsia="zh-CN"/>
              </w:rPr>
              <w:t>承担①的，得9分；</w:t>
            </w:r>
          </w:p>
          <w:p w14:paraId="17D00F57">
            <w:pPr>
              <w:pStyle w:val="24"/>
              <w:bidi w:val="0"/>
              <w:jc w:val="left"/>
              <w:rPr>
                <w:rFonts w:hint="eastAsia"/>
                <w:lang w:val="en-US" w:eastAsia="zh-CN"/>
              </w:rPr>
            </w:pPr>
            <w:r>
              <w:rPr>
                <w:rFonts w:hint="eastAsia"/>
                <w:lang w:val="en-US" w:eastAsia="zh-CN"/>
              </w:rPr>
              <w:t>承担①+②的，得14.5分；</w:t>
            </w:r>
          </w:p>
          <w:p w14:paraId="5AB4773E">
            <w:pPr>
              <w:pStyle w:val="24"/>
              <w:bidi w:val="0"/>
              <w:jc w:val="left"/>
              <w:rPr>
                <w:rFonts w:hint="eastAsia"/>
                <w:lang w:val="en-US" w:eastAsia="zh-CN"/>
              </w:rPr>
            </w:pPr>
            <w:r>
              <w:rPr>
                <w:rFonts w:hint="eastAsia"/>
                <w:lang w:val="en-US" w:eastAsia="zh-CN"/>
              </w:rPr>
              <w:t>承担①+②+③的，得19.5分；</w:t>
            </w:r>
          </w:p>
          <w:p w14:paraId="05B7B6C2">
            <w:pPr>
              <w:pStyle w:val="24"/>
              <w:bidi w:val="0"/>
              <w:jc w:val="left"/>
              <w:rPr>
                <w:rFonts w:hint="eastAsia"/>
                <w:lang w:val="en-US" w:eastAsia="zh-CN"/>
              </w:rPr>
            </w:pPr>
            <w:r>
              <w:rPr>
                <w:rFonts w:hint="eastAsia"/>
                <w:lang w:val="en-US" w:eastAsia="zh-CN"/>
              </w:rPr>
              <w:t>承担①+②+③+④的，得25分；</w:t>
            </w:r>
          </w:p>
          <w:p w14:paraId="1B263D57">
            <w:pPr>
              <w:pStyle w:val="24"/>
              <w:bidi w:val="0"/>
              <w:ind w:firstLine="0" w:firstLineChars="0"/>
              <w:jc w:val="left"/>
              <w:rPr>
                <w:rFonts w:hint="eastAsia"/>
              </w:rPr>
            </w:pPr>
            <w:r>
              <w:rPr>
                <w:rFonts w:hint="eastAsia"/>
                <w:lang w:val="en-US" w:eastAsia="zh-CN"/>
              </w:rPr>
              <w:t>全部承担的，得40分。</w:t>
            </w:r>
            <w:r>
              <w:rPr>
                <w:rFonts w:hint="eastAsia"/>
                <w:b/>
                <w:bCs/>
                <w:highlight w:val="yellow"/>
                <w:lang w:val="en-US" w:eastAsia="zh-CN"/>
              </w:rPr>
              <w:t>须按照①至⑤逐级选取，不得跨级选择</w:t>
            </w:r>
          </w:p>
        </w:tc>
        <w:tc>
          <w:tcPr>
            <w:tcW w:w="697" w:type="dxa"/>
            <w:tcBorders>
              <w:top w:val="single" w:color="000000" w:sz="4" w:space="0"/>
              <w:left w:val="single" w:color="000000" w:sz="4" w:space="0"/>
              <w:right w:val="single" w:color="000000" w:sz="4" w:space="0"/>
            </w:tcBorders>
            <w:shd w:val="clear" w:color="auto" w:fill="auto"/>
            <w:vAlign w:val="center"/>
          </w:tcPr>
          <w:p w14:paraId="37A17CD9">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BC17">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rPr>
            </w:pPr>
            <w:r>
              <w:t>见参评文件第（ ）页</w:t>
            </w:r>
          </w:p>
        </w:tc>
      </w:tr>
      <w:tr w14:paraId="3574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0C84">
            <w:pPr>
              <w:pStyle w:val="2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7</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F6F0">
            <w:pPr>
              <w:pStyle w:val="24"/>
              <w:bidi w:val="0"/>
              <w:ind w:firstLine="0" w:firstLineChars="0"/>
              <w:rPr>
                <w:rFonts w:hint="eastAsia"/>
              </w:rPr>
            </w:pPr>
            <w:r>
              <w:rPr>
                <w:rFonts w:hint="eastAsia"/>
                <w:lang w:eastAsia="zh-CN"/>
              </w:rPr>
              <w:t>增值服务：</w:t>
            </w:r>
            <w:r>
              <w:rPr>
                <w:rFonts w:hint="eastAsia"/>
                <w:lang w:val="en-US" w:eastAsia="zh-CN"/>
              </w:rPr>
              <w:t>储能技术服务费用</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CC9B">
            <w:pPr>
              <w:pStyle w:val="24"/>
              <w:bidi w:val="0"/>
              <w:ind w:firstLine="0" w:firstLineChars="0"/>
              <w:rPr>
                <w:rFonts w:hint="eastAsia"/>
              </w:rPr>
            </w:pPr>
            <w:r>
              <w:rPr>
                <w:rFonts w:hint="eastAsia"/>
                <w:lang w:val="en-US" w:eastAsia="zh-CN"/>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A582">
            <w:pPr>
              <w:pStyle w:val="24"/>
              <w:bidi w:val="0"/>
              <w:ind w:firstLine="0" w:firstLineChars="0"/>
              <w:jc w:val="left"/>
              <w:rPr>
                <w:rFonts w:hint="eastAsia"/>
              </w:rPr>
            </w:pPr>
            <w:r>
              <w:rPr>
                <w:rFonts w:hint="eastAsia"/>
                <w:lang w:val="en-US" w:eastAsia="zh-CN"/>
              </w:rPr>
              <w:t>需求方与合作单位已投入运行的储能系统总容量为‌4.7兆瓦时，需求方每月向合作单位支付‌储能系统放电技术服务费用‌。‌中选人基于其运营状况和风险评估结果，自主确定承担该费用的若干额度。每承担10万元额度，得1分。（需求方、需求方合作单位、中选人签订三方协议，中选人代付相应额度，需求方合作单位开具收据给中选人）</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B61C">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89C7">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en-US" w:eastAsia="zh-CN"/>
              </w:rPr>
            </w:pPr>
            <w:r>
              <w:t>见参评文件第（ ）页</w:t>
            </w:r>
          </w:p>
        </w:tc>
      </w:tr>
      <w:tr w14:paraId="0DBB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B8D9">
            <w:pPr>
              <w:pStyle w:val="24"/>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rPr>
            </w:pPr>
            <w:r>
              <w:rPr>
                <w:rFonts w:hint="eastAsia"/>
                <w:lang w:val="en-US" w:eastAsia="zh-CN"/>
              </w:rPr>
              <w:t>8</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54A3">
            <w:pPr>
              <w:pStyle w:val="24"/>
              <w:bidi w:val="0"/>
              <w:ind w:firstLine="0" w:firstLineChars="0"/>
              <w:rPr>
                <w:rFonts w:hint="eastAsia"/>
              </w:rPr>
            </w:pPr>
            <w:r>
              <w:rPr>
                <w:rFonts w:hint="eastAsia"/>
                <w:lang w:val="en-US" w:eastAsia="zh-CN"/>
              </w:rPr>
              <w:t>广东电力交易中心2025年披露投诉情况</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D72E">
            <w:pPr>
              <w:pStyle w:val="24"/>
              <w:bidi w:val="0"/>
              <w:ind w:firstLine="0" w:firstLineChars="0"/>
              <w:rPr>
                <w:rFonts w:hint="eastAsia"/>
              </w:rPr>
            </w:pPr>
            <w:r>
              <w:rPr>
                <w:rFonts w:hint="eastAsia"/>
                <w:lang w:val="en-US" w:eastAsia="zh-CN"/>
              </w:rPr>
              <w:t>每宗扣15分</w:t>
            </w:r>
          </w:p>
        </w:tc>
        <w:tc>
          <w:tcPr>
            <w:tcW w:w="4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725D">
            <w:pPr>
              <w:pStyle w:val="24"/>
              <w:bidi w:val="0"/>
              <w:ind w:firstLine="0" w:firstLineChars="0"/>
              <w:jc w:val="left"/>
              <w:rPr>
                <w:rFonts w:hint="eastAsia"/>
              </w:rPr>
            </w:pPr>
            <w:r>
              <w:rPr>
                <w:rFonts w:hint="eastAsia"/>
                <w:lang w:val="en-US" w:eastAsia="zh-CN"/>
              </w:rPr>
              <w:t>广东电力交易中心2025年披露投诉情况，售电公司被投诉的，每宗扣15分。</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0119">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07A5">
            <w:pPr>
              <w:pStyle w:val="24"/>
              <w:keepNext w:val="0"/>
              <w:keepLines w:val="0"/>
              <w:pageBreakBefore w:val="0"/>
              <w:widowControl w:val="0"/>
              <w:kinsoku/>
              <w:wordWrap/>
              <w:overflowPunct/>
              <w:topLinePunct w:val="0"/>
              <w:autoSpaceDE/>
              <w:autoSpaceDN/>
              <w:bidi w:val="0"/>
              <w:adjustRightInd w:val="0"/>
              <w:snapToGrid w:val="0"/>
              <w:jc w:val="left"/>
              <w:textAlignment w:val="auto"/>
              <w:rPr>
                <w:rFonts w:hint="eastAsia"/>
                <w:lang w:val="en-US" w:eastAsia="zh-CN"/>
              </w:rPr>
            </w:pPr>
            <w:r>
              <w:t>见参评文件第（ ）页</w:t>
            </w:r>
          </w:p>
        </w:tc>
      </w:tr>
      <w:tr w14:paraId="7E6F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71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D359">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合计</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7C8A">
            <w:pPr>
              <w:pStyle w:val="24"/>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5944">
            <w:pPr>
              <w:pStyle w:val="24"/>
              <w:keepNext w:val="0"/>
              <w:keepLines w:val="0"/>
              <w:pageBreakBefore w:val="0"/>
              <w:widowControl w:val="0"/>
              <w:kinsoku/>
              <w:wordWrap/>
              <w:overflowPunct/>
              <w:topLinePunct w:val="0"/>
              <w:autoSpaceDE/>
              <w:autoSpaceDN/>
              <w:bidi w:val="0"/>
              <w:adjustRightInd w:val="0"/>
              <w:snapToGrid w:val="0"/>
              <w:jc w:val="left"/>
              <w:textAlignment w:val="auto"/>
            </w:pPr>
          </w:p>
        </w:tc>
      </w:tr>
    </w:tbl>
    <w:p w14:paraId="69CD329C">
      <w:pPr>
        <w:rPr>
          <w:rFonts w:hint="default"/>
          <w:highlight w:val="none"/>
          <w:lang w:val="en-US" w:eastAsia="zh-CN"/>
        </w:rPr>
      </w:pPr>
    </w:p>
    <w:p w14:paraId="5A298EE5">
      <w:pPr>
        <w:rPr>
          <w:rFonts w:hint="default"/>
          <w:highlight w:val="none"/>
          <w:lang w:val="en-US" w:eastAsia="zh-CN"/>
        </w:rPr>
      </w:pPr>
      <w:r>
        <w:rPr>
          <w:rFonts w:hint="eastAsia" w:ascii="宋体" w:hAnsi="宋体" w:eastAsia="宋体" w:cs="宋体"/>
          <w:sz w:val="24"/>
          <w:szCs w:val="24"/>
          <w:highlight w:val="none"/>
        </w:rPr>
        <w:br w:type="page"/>
      </w:r>
    </w:p>
    <w:p w14:paraId="2D7A9990">
      <w:pPr>
        <w:pStyle w:val="25"/>
        <w:bidi w:val="0"/>
        <w:rPr>
          <w:rFonts w:hint="default"/>
          <w:highlight w:val="none"/>
          <w:lang w:val="en-US" w:eastAsia="zh-CN"/>
        </w:rPr>
      </w:pPr>
      <w:bookmarkStart w:id="16" w:name="_Toc17431"/>
      <w:bookmarkStart w:id="17" w:name="_Toc26534"/>
      <w:bookmarkStart w:id="18" w:name="_Toc25173"/>
      <w:bookmarkStart w:id="19" w:name="_Toc509"/>
      <w:bookmarkStart w:id="20" w:name="_Toc14666"/>
      <w:r>
        <w:rPr>
          <w:rFonts w:hint="eastAsia" w:ascii="宋体" w:hAnsi="宋体" w:eastAsia="宋体" w:cs="宋体"/>
          <w:sz w:val="24"/>
          <w:szCs w:val="24"/>
          <w:highlight w:val="none"/>
        </w:rPr>
        <w:t>法定代表人授权书</w:t>
      </w:r>
      <w:bookmarkEnd w:id="9"/>
      <w:bookmarkEnd w:id="16"/>
      <w:bookmarkEnd w:id="17"/>
      <w:bookmarkEnd w:id="18"/>
      <w:bookmarkEnd w:id="19"/>
      <w:bookmarkEnd w:id="20"/>
      <w:bookmarkStart w:id="21" w:name="_Toc15961"/>
    </w:p>
    <w:p w14:paraId="78C4D207">
      <w:pPr>
        <w:bidi w:val="0"/>
        <w:jc w:val="center"/>
        <w:rPr>
          <w:rFonts w:hint="eastAsia" w:ascii="宋体" w:hAnsi="宋体" w:eastAsia="宋体" w:cs="宋体"/>
          <w:b/>
          <w:bCs/>
          <w:kern w:val="2"/>
          <w:sz w:val="24"/>
          <w:szCs w:val="24"/>
          <w:highlight w:val="none"/>
          <w:lang w:val="en-US" w:eastAsia="zh-CN" w:bidi="ar-SA"/>
        </w:rPr>
      </w:pPr>
    </w:p>
    <w:p w14:paraId="64C94AD9">
      <w:pPr>
        <w:bidi w:val="0"/>
        <w:jc w:val="center"/>
        <w:rPr>
          <w:rFonts w:hint="eastAsia"/>
          <w:sz w:val="22"/>
          <w:szCs w:val="28"/>
          <w:highlight w:val="none"/>
        </w:rPr>
      </w:pPr>
      <w:r>
        <w:rPr>
          <w:rFonts w:hint="eastAsia" w:ascii="宋体" w:hAnsi="宋体" w:eastAsia="宋体" w:cs="宋体"/>
          <w:b/>
          <w:bCs/>
          <w:kern w:val="2"/>
          <w:sz w:val="28"/>
          <w:szCs w:val="28"/>
          <w:highlight w:val="none"/>
          <w:lang w:val="en-US" w:eastAsia="zh-CN" w:bidi="ar-SA"/>
        </w:rPr>
        <w:t>法定代表人授权书</w:t>
      </w:r>
      <w:bookmarkEnd w:id="21"/>
    </w:p>
    <w:p w14:paraId="637ABEE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中山市公共交通运输集团有限公司</w:t>
      </w:r>
    </w:p>
    <w:p w14:paraId="04802800">
      <w:pPr>
        <w:spacing w:line="360" w:lineRule="auto"/>
        <w:ind w:firstLine="480" w:firstLineChars="200"/>
        <w:jc w:val="lef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我单位特授权</w:t>
      </w:r>
      <w:r>
        <w:rPr>
          <w:rFonts w:hint="eastAsia" w:ascii="宋体" w:hAnsi="宋体" w:cs="宋体"/>
          <w:sz w:val="24"/>
          <w:szCs w:val="24"/>
          <w:highlight w:val="none"/>
          <w:lang w:val="en-GB" w:eastAsia="zh-CN"/>
        </w:rPr>
        <w:t>委派</w:t>
      </w:r>
      <w:r>
        <w:rPr>
          <w:rFonts w:hint="eastAsia" w:ascii="宋体" w:hAnsi="宋体" w:eastAsia="宋体" w:cs="宋体"/>
          <w:sz w:val="24"/>
          <w:szCs w:val="24"/>
          <w:highlight w:val="none"/>
          <w:lang w:val="en-GB"/>
        </w:rPr>
        <w:t>以下员工，作为我方</w:t>
      </w:r>
      <w:r>
        <w:rPr>
          <w:rFonts w:hint="eastAsia" w:ascii="宋体" w:hAnsi="宋体" w:cs="宋体"/>
          <w:sz w:val="24"/>
          <w:szCs w:val="24"/>
          <w:highlight w:val="none"/>
          <w:lang w:val="en-GB" w:eastAsia="zh-CN"/>
        </w:rPr>
        <w:t>参评</w:t>
      </w:r>
      <w:r>
        <w:rPr>
          <w:rFonts w:hint="eastAsia" w:ascii="宋体" w:hAnsi="宋体" w:cs="宋体"/>
          <w:sz w:val="24"/>
          <w:szCs w:val="24"/>
          <w:highlight w:val="none"/>
          <w:u w:val="single"/>
          <w:lang w:val="en-GB" w:eastAsia="zh-CN"/>
        </w:rPr>
        <w:t>中山市公共交通运输集团有限公司</w:t>
      </w:r>
      <w:r>
        <w:rPr>
          <w:rFonts w:hint="eastAsia" w:ascii="宋体" w:hAnsi="宋体" w:cs="宋体"/>
          <w:b w:val="0"/>
          <w:bCs w:val="0"/>
          <w:i w:val="0"/>
          <w:caps w:val="0"/>
          <w:spacing w:val="0"/>
          <w:kern w:val="2"/>
          <w:sz w:val="24"/>
          <w:szCs w:val="24"/>
          <w:highlight w:val="none"/>
          <w:u w:val="single"/>
          <w:shd w:val="clear"/>
          <w:lang w:val="en-GB" w:eastAsia="zh-CN"/>
        </w:rPr>
        <w:t>2026年</w:t>
      </w:r>
      <w:r>
        <w:rPr>
          <w:rFonts w:hint="eastAsia" w:ascii="宋体" w:hAnsi="宋体" w:eastAsia="宋体" w:cs="宋体"/>
          <w:b w:val="0"/>
          <w:bCs w:val="0"/>
          <w:i w:val="0"/>
          <w:caps w:val="0"/>
          <w:spacing w:val="0"/>
          <w:kern w:val="2"/>
          <w:sz w:val="24"/>
          <w:szCs w:val="24"/>
          <w:highlight w:val="none"/>
          <w:u w:val="single"/>
          <w:shd w:val="clear"/>
          <w:lang w:val="en-GB" w:eastAsia="zh-CN"/>
        </w:rPr>
        <w:t>电力市场交易售电代理项目</w:t>
      </w:r>
      <w:r>
        <w:rPr>
          <w:rFonts w:hint="eastAsia" w:ascii="宋体" w:hAnsi="宋体" w:eastAsia="宋体" w:cs="宋体"/>
          <w:sz w:val="24"/>
          <w:szCs w:val="24"/>
          <w:highlight w:val="none"/>
          <w:lang w:val="en-GB"/>
        </w:rPr>
        <w:t>的唯一全权代表，对该代表人所提供、签署的一切文书均视为符合我方的合法利益和真实意愿，我方愿为其行为承担全部责任。</w:t>
      </w:r>
    </w:p>
    <w:p w14:paraId="43176946">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GB"/>
        </w:rPr>
        <w:fldChar w:fldCharType="begin"/>
      </w:r>
      <w:r>
        <w:rPr>
          <w:rFonts w:hint="eastAsia" w:ascii="宋体" w:hAnsi="宋体" w:eastAsia="宋体" w:cs="宋体"/>
          <w:sz w:val="24"/>
          <w:szCs w:val="24"/>
          <w:highlight w:val="none"/>
          <w:lang w:val="en-GB"/>
        </w:rPr>
        <w:instrText xml:space="preserve"> DOCVARIABLE  项目名称  \* MERGEFORMAT </w:instrText>
      </w:r>
      <w:r>
        <w:rPr>
          <w:rFonts w:hint="eastAsia" w:ascii="宋体" w:hAnsi="宋体" w:eastAsia="宋体" w:cs="宋体"/>
          <w:sz w:val="24"/>
          <w:szCs w:val="24"/>
          <w:highlight w:val="none"/>
          <w:lang w:val="en-GB"/>
        </w:rPr>
        <w:fldChar w:fldCharType="separate"/>
      </w:r>
      <w:r>
        <w:rPr>
          <w:rFonts w:hint="eastAsia" w:ascii="宋体" w:hAnsi="宋体" w:cs="宋体"/>
          <w:sz w:val="24"/>
          <w:szCs w:val="24"/>
          <w:highlight w:val="none"/>
          <w:lang w:val="en-GB" w:eastAsia="zh-CN"/>
        </w:rPr>
        <w:t>委派</w:t>
      </w:r>
      <w:r>
        <w:rPr>
          <w:rFonts w:hint="eastAsia" w:ascii="宋体" w:hAnsi="宋体" w:eastAsia="宋体" w:cs="宋体"/>
          <w:sz w:val="24"/>
          <w:szCs w:val="24"/>
          <w:highlight w:val="none"/>
          <w:lang w:val="en-GB"/>
        </w:rPr>
        <w:fldChar w:fldCharType="end"/>
      </w:r>
      <w:r>
        <w:rPr>
          <w:rFonts w:hint="eastAsia" w:ascii="宋体" w:hAnsi="宋体" w:eastAsia="宋体" w:cs="宋体"/>
          <w:sz w:val="24"/>
          <w:szCs w:val="24"/>
          <w:highlight w:val="none"/>
        </w:rPr>
        <w:t>授权代表姓名</w:t>
      </w:r>
      <w:r>
        <w:rPr>
          <w:rFonts w:hint="eastAsia" w:ascii="宋体" w:hAnsi="宋体" w:eastAsia="宋体" w:cs="宋体"/>
          <w:sz w:val="24"/>
          <w:szCs w:val="24"/>
          <w:highlight w:val="none"/>
          <w:lang w:val="en-GB"/>
        </w:rPr>
        <w:t>（签名）</w:t>
      </w:r>
      <w:r>
        <w:rPr>
          <w:rFonts w:hint="eastAsia" w:ascii="宋体" w:hAnsi="宋体" w:eastAsia="宋体" w:cs="宋体"/>
          <w:sz w:val="24"/>
          <w:szCs w:val="24"/>
          <w:highlight w:val="none"/>
        </w:rPr>
        <w:t>：</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，身份证号码：</w:t>
      </w:r>
      <w:r>
        <w:rPr>
          <w:rFonts w:hint="eastAsia" w:ascii="宋体" w:hAnsi="宋体" w:cs="宋体"/>
          <w:sz w:val="24"/>
          <w:szCs w:val="24"/>
          <w:highlight w:val="none"/>
          <w:u w:val="single"/>
          <w:lang w:val="en-US" w:eastAsia="zh-CN"/>
        </w:rPr>
        <w:t>______________</w:t>
      </w:r>
    </w:p>
    <w:p w14:paraId="69D2E2C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联系电话（手机）：</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，现职务：</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w:t>
      </w:r>
    </w:p>
    <w:p w14:paraId="51587C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法定代表人（签名或盖章）：</w:t>
      </w:r>
      <w:r>
        <w:rPr>
          <w:rFonts w:hint="eastAsia" w:ascii="宋体" w:hAnsi="宋体" w:cs="宋体"/>
          <w:sz w:val="24"/>
          <w:szCs w:val="24"/>
          <w:highlight w:val="none"/>
          <w:u w:val="single"/>
          <w:lang w:val="en-US" w:eastAsia="zh-CN"/>
        </w:rPr>
        <w:t>______________</w:t>
      </w:r>
    </w:p>
    <w:p w14:paraId="70D0500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特此授权证明。</w:t>
      </w:r>
    </w:p>
    <w:p w14:paraId="244CD69E">
      <w:pPr>
        <w:spacing w:line="360" w:lineRule="auto"/>
        <w:rPr>
          <w:rFonts w:hint="eastAsia" w:ascii="宋体" w:hAnsi="宋体" w:eastAsia="宋体" w:cs="宋体"/>
          <w:sz w:val="24"/>
          <w:szCs w:val="24"/>
          <w:highlight w:val="none"/>
          <w:lang w:val="en-GB"/>
        </w:rPr>
      </w:pPr>
    </w:p>
    <w:p w14:paraId="28BB7619">
      <w:pPr>
        <w:spacing w:line="360" w:lineRule="auto"/>
        <w:ind w:firstLine="3840" w:firstLineChars="1600"/>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盖章</w:t>
      </w:r>
      <w:r>
        <w:rPr>
          <w:rFonts w:hint="eastAsia" w:ascii="宋体" w:hAnsi="宋体" w:eastAsia="宋体" w:cs="宋体"/>
          <w:sz w:val="24"/>
          <w:szCs w:val="24"/>
          <w:highlight w:val="none"/>
        </w:rPr>
        <w:t>）</w:t>
      </w:r>
    </w:p>
    <w:p w14:paraId="07A2B643">
      <w:pPr>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日期：    年  月  日</w:t>
      </w:r>
    </w:p>
    <w:p w14:paraId="5A9174EE">
      <w:pPr>
        <w:spacing w:line="360" w:lineRule="auto"/>
        <w:rPr>
          <w:rFonts w:hint="eastAsia" w:hAnsi="宋体" w:cs="仿宋"/>
          <w:szCs w:val="24"/>
          <w:highlight w:val="none"/>
          <w:lang w:val="en-GB"/>
        </w:rPr>
      </w:pPr>
    </w:p>
    <w:p w14:paraId="324AC6F4">
      <w:pPr>
        <w:spacing w:line="360" w:lineRule="auto"/>
        <w:rPr>
          <w:rFonts w:hint="eastAsia" w:hAnsi="宋体" w:cs="仿宋"/>
          <w:szCs w:val="24"/>
          <w:highlight w:val="none"/>
          <w:lang w:val="en-GB"/>
        </w:rPr>
      </w:pPr>
    </w:p>
    <w:p w14:paraId="7F259CE4">
      <w:pPr>
        <w:spacing w:line="360" w:lineRule="auto"/>
        <w:rPr>
          <w:rFonts w:hint="eastAsia" w:hAnsi="宋体" w:cs="仿宋"/>
          <w:szCs w:val="24"/>
          <w:highlight w:val="none"/>
          <w:lang w:val="en-GB"/>
        </w:rPr>
      </w:pPr>
      <w:r>
        <w:rPr>
          <w:rFonts w:hint="eastAsia" w:hAnsi="宋体" w:cs="仿宋"/>
          <w:szCs w:val="24"/>
          <w:highlight w:val="none"/>
          <w:lang w:val="en-GB"/>
        </w:rPr>
        <w:t>附：被授权人的身份证复印件：</w:t>
      </w:r>
    </w:p>
    <w:tbl>
      <w:tblPr>
        <w:tblStyle w:val="18"/>
        <w:tblW w:w="0" w:type="auto"/>
        <w:tblInd w:w="0" w:type="dxa"/>
        <w:tblLayout w:type="fixed"/>
        <w:tblCellMar>
          <w:top w:w="0" w:type="dxa"/>
          <w:left w:w="108" w:type="dxa"/>
          <w:bottom w:w="0" w:type="dxa"/>
          <w:right w:w="108" w:type="dxa"/>
        </w:tblCellMar>
      </w:tblPr>
      <w:tblGrid>
        <w:gridCol w:w="9396"/>
      </w:tblGrid>
      <w:tr w14:paraId="67BA789D">
        <w:tblPrEx>
          <w:tblCellMar>
            <w:top w:w="0" w:type="dxa"/>
            <w:left w:w="108" w:type="dxa"/>
            <w:bottom w:w="0" w:type="dxa"/>
            <w:right w:w="108" w:type="dxa"/>
          </w:tblCellMar>
        </w:tblPrEx>
        <w:trPr>
          <w:trHeight w:val="2794" w:hRule="atLeast"/>
        </w:trPr>
        <w:tc>
          <w:tcPr>
            <w:tcW w:w="9396" w:type="dxa"/>
            <w:noWrap w:val="0"/>
            <w:vAlign w:val="center"/>
          </w:tcPr>
          <w:p w14:paraId="2A197CBC">
            <w:pPr>
              <w:pStyle w:val="7"/>
              <w:rPr>
                <w:rFonts w:hint="eastAsia"/>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2838450</wp:posOffset>
                      </wp:positionH>
                      <wp:positionV relativeFrom="paragraph">
                        <wp:posOffset>245110</wp:posOffset>
                      </wp:positionV>
                      <wp:extent cx="2814320" cy="1915795"/>
                      <wp:effectExtent l="7620" t="7620" r="16510" b="19685"/>
                      <wp:wrapNone/>
                      <wp:docPr id="3" name="矩形 3"/>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2CB3283B">
                                  <w:pPr>
                                    <w:jc w:val="center"/>
                                    <w:rPr>
                                      <w:rFonts w:hint="eastAsia"/>
                                      <w:lang w:eastAsia="zh-CN"/>
                                    </w:rPr>
                                  </w:pPr>
                                </w:p>
                                <w:p w14:paraId="28C786B7">
                                  <w:pPr>
                                    <w:jc w:val="center"/>
                                    <w:rPr>
                                      <w:rFonts w:hint="eastAsia"/>
                                      <w:lang w:eastAsia="zh-CN"/>
                                    </w:rPr>
                                  </w:pPr>
                                </w:p>
                                <w:p w14:paraId="40D285BA">
                                  <w:pPr>
                                    <w:jc w:val="center"/>
                                    <w:rPr>
                                      <w:rFonts w:hint="eastAsia"/>
                                      <w:lang w:eastAsia="zh-CN"/>
                                    </w:rPr>
                                  </w:pPr>
                                </w:p>
                                <w:p w14:paraId="4F16DA13">
                                  <w:pPr>
                                    <w:jc w:val="center"/>
                                    <w:rPr>
                                      <w:rFonts w:hint="eastAsia"/>
                                      <w:lang w:eastAsia="zh-CN"/>
                                    </w:rPr>
                                  </w:pPr>
                                </w:p>
                                <w:p w14:paraId="50A9E1EF">
                                  <w:pPr>
                                    <w:jc w:val="center"/>
                                    <w:rPr>
                                      <w:rFonts w:hint="eastAsia"/>
                                      <w:lang w:eastAsia="zh-CN"/>
                                    </w:rPr>
                                  </w:pPr>
                                </w:p>
                                <w:p w14:paraId="2C0B2182">
                                  <w:pPr>
                                    <w:jc w:val="center"/>
                                  </w:pPr>
                                  <w:r>
                                    <w:rPr>
                                      <w:rFonts w:hint="eastAsia"/>
                                      <w:lang w:eastAsia="zh-CN"/>
                                    </w:rPr>
                                    <w:t>身份证复印件</w:t>
                                  </w:r>
                                  <w:r>
                                    <w:rPr>
                                      <w:rFonts w:hint="eastAsia"/>
                                      <w:lang w:val="en-US" w:eastAsia="zh-CN"/>
                                    </w:rPr>
                                    <w:t>(扫描件)背面</w:t>
                                  </w:r>
                                </w:p>
                              </w:txbxContent>
                            </wps:txbx>
                            <wps:bodyPr upright="1"/>
                          </wps:wsp>
                        </a:graphicData>
                      </a:graphic>
                    </wp:anchor>
                  </w:drawing>
                </mc:Choice>
                <mc:Fallback>
                  <w:pict>
                    <v:rect id="_x0000_s1026" o:spid="_x0000_s1026" o:spt="1" style="position:absolute;left:0pt;margin-left:223.5pt;margin-top:19.3pt;height:150.85pt;width:221.6pt;z-index:251660288;mso-width-relative:page;mso-height-relative:page;" fillcolor="#FFFFFF" filled="t" stroked="t" coordsize="21600,21600" o:gfxdata="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2khGNkAAAAKAQAADwAAAAAAAAABACAAAAAiAAAA&#10;ZHJzL2Rvd25yZXYueG1sUEsBAhQAFAAAAAgAh07iQLjxmEY/AgAAsgQAAA4AAAAAAAAAAQAgAAAA&#10;KAEAAGRycy9lMm9Eb2MueG1sUEsFBgAAAAAGAAYAWQEAANkFAAAAAA==&#10;">
                      <v:fill type="gradient" on="t" color2="#FFFFFF" angle="90" focus="100%" focussize="0,0">
                        <o:fill type="gradientUnscaled" v:ext="backwardCompatible"/>
                      </v:fill>
                      <v:stroke weight="1.25pt" color="#000000" joinstyle="miter"/>
                      <v:imagedata o:title=""/>
                      <o:lock v:ext="edit" aspectratio="f"/>
                      <v:textbox>
                        <w:txbxContent>
                          <w:p w14:paraId="2CB3283B">
                            <w:pPr>
                              <w:jc w:val="center"/>
                              <w:rPr>
                                <w:rFonts w:hint="eastAsia"/>
                                <w:lang w:eastAsia="zh-CN"/>
                              </w:rPr>
                            </w:pPr>
                          </w:p>
                          <w:p w14:paraId="28C786B7">
                            <w:pPr>
                              <w:jc w:val="center"/>
                              <w:rPr>
                                <w:rFonts w:hint="eastAsia"/>
                                <w:lang w:eastAsia="zh-CN"/>
                              </w:rPr>
                            </w:pPr>
                          </w:p>
                          <w:p w14:paraId="40D285BA">
                            <w:pPr>
                              <w:jc w:val="center"/>
                              <w:rPr>
                                <w:rFonts w:hint="eastAsia"/>
                                <w:lang w:eastAsia="zh-CN"/>
                              </w:rPr>
                            </w:pPr>
                          </w:p>
                          <w:p w14:paraId="4F16DA13">
                            <w:pPr>
                              <w:jc w:val="center"/>
                              <w:rPr>
                                <w:rFonts w:hint="eastAsia"/>
                                <w:lang w:eastAsia="zh-CN"/>
                              </w:rPr>
                            </w:pPr>
                          </w:p>
                          <w:p w14:paraId="50A9E1EF">
                            <w:pPr>
                              <w:jc w:val="center"/>
                              <w:rPr>
                                <w:rFonts w:hint="eastAsia"/>
                                <w:lang w:eastAsia="zh-CN"/>
                              </w:rPr>
                            </w:pPr>
                          </w:p>
                          <w:p w14:paraId="2C0B2182">
                            <w:pPr>
                              <w:jc w:val="center"/>
                            </w:pPr>
                            <w:r>
                              <w:rPr>
                                <w:rFonts w:hint="eastAsia"/>
                                <w:lang w:eastAsia="zh-CN"/>
                              </w:rPr>
                              <w:t>身份证复印件</w:t>
                            </w:r>
                            <w:r>
                              <w:rPr>
                                <w:rFonts w:hint="eastAsia"/>
                                <w:lang w:val="en-US" w:eastAsia="zh-CN"/>
                              </w:rPr>
                              <w:t>(扫描件)背面</w:t>
                            </w:r>
                          </w:p>
                        </w:txbxContent>
                      </v:textbox>
                    </v:rect>
                  </w:pict>
                </mc:Fallback>
              </mc:AlternateContent>
            </w: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245110</wp:posOffset>
                      </wp:positionV>
                      <wp:extent cx="2814320" cy="1915795"/>
                      <wp:effectExtent l="7620" t="7620" r="16510" b="19685"/>
                      <wp:wrapNone/>
                      <wp:docPr id="2" name="矩形 2"/>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DA035A3">
                                  <w:pPr>
                                    <w:jc w:val="center"/>
                                    <w:rPr>
                                      <w:rFonts w:hint="eastAsia"/>
                                      <w:lang w:eastAsia="zh-CN"/>
                                    </w:rPr>
                                  </w:pPr>
                                </w:p>
                                <w:p w14:paraId="6C47198B">
                                  <w:pPr>
                                    <w:jc w:val="center"/>
                                    <w:rPr>
                                      <w:rFonts w:hint="eastAsia"/>
                                      <w:lang w:eastAsia="zh-CN"/>
                                    </w:rPr>
                                  </w:pPr>
                                </w:p>
                                <w:p w14:paraId="3A7C0FA9">
                                  <w:pPr>
                                    <w:jc w:val="center"/>
                                    <w:rPr>
                                      <w:rFonts w:hint="eastAsia"/>
                                      <w:lang w:eastAsia="zh-CN"/>
                                    </w:rPr>
                                  </w:pPr>
                                </w:p>
                                <w:p w14:paraId="2BBFC0D9">
                                  <w:pPr>
                                    <w:jc w:val="center"/>
                                    <w:rPr>
                                      <w:rFonts w:hint="eastAsia"/>
                                      <w:lang w:eastAsia="zh-CN"/>
                                    </w:rPr>
                                  </w:pPr>
                                </w:p>
                                <w:p w14:paraId="02BDCB59">
                                  <w:pPr>
                                    <w:jc w:val="center"/>
                                    <w:rPr>
                                      <w:rFonts w:hint="eastAsia"/>
                                      <w:lang w:eastAsia="zh-CN"/>
                                    </w:rPr>
                                  </w:pPr>
                                </w:p>
                                <w:p w14:paraId="347F73DE">
                                  <w:pPr>
                                    <w:jc w:val="center"/>
                                  </w:pPr>
                                  <w:r>
                                    <w:rPr>
                                      <w:rFonts w:hint="eastAsia"/>
                                      <w:lang w:eastAsia="zh-CN"/>
                                    </w:rPr>
                                    <w:t>身份证复印件</w:t>
                                  </w:r>
                                  <w:r>
                                    <w:rPr>
                                      <w:rFonts w:hint="eastAsia"/>
                                      <w:lang w:val="en-US" w:eastAsia="zh-CN"/>
                                    </w:rPr>
                                    <w:t>(扫描件)</w:t>
                                  </w:r>
                                  <w:r>
                                    <w:rPr>
                                      <w:rFonts w:hint="eastAsia"/>
                                      <w:lang w:eastAsia="zh-CN"/>
                                    </w:rPr>
                                    <w:t>正面</w:t>
                                  </w:r>
                                </w:p>
                              </w:txbxContent>
                            </wps:txbx>
                            <wps:bodyPr upright="1"/>
                          </wps:wsp>
                        </a:graphicData>
                      </a:graphic>
                    </wp:anchor>
                  </w:drawing>
                </mc:Choice>
                <mc:Fallback>
                  <w:pict>
                    <v:rect id="_x0000_s1026" o:spid="_x0000_s1026" o:spt="1" style="position:absolute;left:0pt;margin-left:-5.15pt;margin-top:19.3pt;height:150.85pt;width:221.6pt;z-index:251659264;mso-width-relative:page;mso-height-relative:page;" fillcolor="#FFFFFF" filled="t" stroked="t" coordsize="21600,21600" o:gfxdata="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fe0TfYAAAACgEAAA8AAAAAAAAAAQAgAAAAIgAAAGRy&#10;cy9kb3ducmV2LnhtbFBLAQIUABQAAAAIAIdO4kCosvt1PgIAALIEAAAOAAAAAAAAAAEAIAAAACcB&#10;AABkcnMvZTJvRG9jLnhtbFBLBQYAAAAABgAGAFkBAADXBQAAAAA=&#10;">
                      <v:fill type="gradient" on="t" color2="#FFFFFF" angle="90" focus="100%" focussize="0,0">
                        <o:fill type="gradientUnscaled" v:ext="backwardCompatible"/>
                      </v:fill>
                      <v:stroke weight="1.25pt" color="#000000" joinstyle="miter"/>
                      <v:imagedata o:title=""/>
                      <o:lock v:ext="edit" aspectratio="f"/>
                      <v:textbox>
                        <w:txbxContent>
                          <w:p w14:paraId="5DA035A3">
                            <w:pPr>
                              <w:jc w:val="center"/>
                              <w:rPr>
                                <w:rFonts w:hint="eastAsia"/>
                                <w:lang w:eastAsia="zh-CN"/>
                              </w:rPr>
                            </w:pPr>
                          </w:p>
                          <w:p w14:paraId="6C47198B">
                            <w:pPr>
                              <w:jc w:val="center"/>
                              <w:rPr>
                                <w:rFonts w:hint="eastAsia"/>
                                <w:lang w:eastAsia="zh-CN"/>
                              </w:rPr>
                            </w:pPr>
                          </w:p>
                          <w:p w14:paraId="3A7C0FA9">
                            <w:pPr>
                              <w:jc w:val="center"/>
                              <w:rPr>
                                <w:rFonts w:hint="eastAsia"/>
                                <w:lang w:eastAsia="zh-CN"/>
                              </w:rPr>
                            </w:pPr>
                          </w:p>
                          <w:p w14:paraId="2BBFC0D9">
                            <w:pPr>
                              <w:jc w:val="center"/>
                              <w:rPr>
                                <w:rFonts w:hint="eastAsia"/>
                                <w:lang w:eastAsia="zh-CN"/>
                              </w:rPr>
                            </w:pPr>
                          </w:p>
                          <w:p w14:paraId="02BDCB59">
                            <w:pPr>
                              <w:jc w:val="center"/>
                              <w:rPr>
                                <w:rFonts w:hint="eastAsia"/>
                                <w:lang w:eastAsia="zh-CN"/>
                              </w:rPr>
                            </w:pPr>
                          </w:p>
                          <w:p w14:paraId="347F73DE">
                            <w:pPr>
                              <w:jc w:val="center"/>
                            </w:pPr>
                            <w:r>
                              <w:rPr>
                                <w:rFonts w:hint="eastAsia"/>
                                <w:lang w:eastAsia="zh-CN"/>
                              </w:rPr>
                              <w:t>身份证复印件</w:t>
                            </w:r>
                            <w:r>
                              <w:rPr>
                                <w:rFonts w:hint="eastAsia"/>
                                <w:lang w:val="en-US" w:eastAsia="zh-CN"/>
                              </w:rPr>
                              <w:t>(扫描件)</w:t>
                            </w:r>
                            <w:r>
                              <w:rPr>
                                <w:rFonts w:hint="eastAsia"/>
                                <w:lang w:eastAsia="zh-CN"/>
                              </w:rPr>
                              <w:t>正面</w:t>
                            </w:r>
                          </w:p>
                        </w:txbxContent>
                      </v:textbox>
                    </v:rect>
                  </w:pict>
                </mc:Fallback>
              </mc:AlternateContent>
            </w:r>
          </w:p>
          <w:p w14:paraId="605E699D">
            <w:pPr>
              <w:pStyle w:val="7"/>
              <w:rPr>
                <w:rFonts w:hint="eastAsia"/>
                <w:highlight w:val="none"/>
              </w:rPr>
            </w:pPr>
          </w:p>
          <w:p w14:paraId="7F0173EB">
            <w:pPr>
              <w:pStyle w:val="7"/>
              <w:rPr>
                <w:rFonts w:hint="eastAsia"/>
                <w:highlight w:val="none"/>
              </w:rPr>
            </w:pPr>
          </w:p>
          <w:p w14:paraId="4FDD60C2">
            <w:pPr>
              <w:pStyle w:val="7"/>
              <w:rPr>
                <w:rFonts w:hint="eastAsia"/>
                <w:highlight w:val="none"/>
              </w:rPr>
            </w:pPr>
          </w:p>
          <w:p w14:paraId="58D81451">
            <w:pPr>
              <w:pStyle w:val="7"/>
              <w:rPr>
                <w:rFonts w:hint="eastAsia"/>
                <w:highlight w:val="none"/>
              </w:rPr>
            </w:pPr>
          </w:p>
          <w:p w14:paraId="4AF69121">
            <w:pPr>
              <w:pStyle w:val="7"/>
              <w:rPr>
                <w:rFonts w:hint="eastAsia"/>
                <w:highlight w:val="none"/>
              </w:rPr>
            </w:pPr>
          </w:p>
          <w:p w14:paraId="6C4535DB">
            <w:pPr>
              <w:pStyle w:val="7"/>
              <w:rPr>
                <w:rFonts w:hint="eastAsia"/>
                <w:highlight w:val="none"/>
              </w:rPr>
            </w:pPr>
          </w:p>
          <w:p w14:paraId="22EB8217">
            <w:pPr>
              <w:pStyle w:val="7"/>
              <w:rPr>
                <w:rFonts w:hint="eastAsia"/>
                <w:highlight w:val="none"/>
              </w:rPr>
            </w:pPr>
          </w:p>
          <w:p w14:paraId="131BCBEB">
            <w:pPr>
              <w:spacing w:line="360" w:lineRule="auto"/>
              <w:rPr>
                <w:rFonts w:hint="eastAsia" w:hAnsi="宋体" w:cs="仿宋"/>
                <w:szCs w:val="24"/>
                <w:highlight w:val="none"/>
              </w:rPr>
            </w:pPr>
            <w:r>
              <w:rPr>
                <w:rFonts w:hint="eastAsia" w:ascii="Times New Roman"/>
                <w:kern w:val="2"/>
                <w:sz w:val="21"/>
                <w:szCs w:val="21"/>
                <w:highlight w:val="none"/>
              </w:rPr>
              <w:t>以上方框内粘贴</w:t>
            </w:r>
            <w:r>
              <w:rPr>
                <w:rFonts w:hint="eastAsia" w:hAnsi="宋体" w:cs="仿宋"/>
                <w:sz w:val="21"/>
                <w:szCs w:val="21"/>
                <w:highlight w:val="none"/>
                <w:lang w:val="en-GB"/>
              </w:rPr>
              <w:t>被授权人的</w:t>
            </w:r>
            <w:r>
              <w:rPr>
                <w:rFonts w:hint="eastAsia" w:ascii="Times New Roman"/>
                <w:kern w:val="2"/>
                <w:sz w:val="21"/>
                <w:szCs w:val="21"/>
                <w:highlight w:val="none"/>
              </w:rPr>
              <w:t>身份证</w:t>
            </w:r>
            <w:r>
              <w:rPr>
                <w:rFonts w:hint="eastAsia"/>
                <w:kern w:val="2"/>
                <w:sz w:val="21"/>
                <w:szCs w:val="21"/>
                <w:highlight w:val="none"/>
                <w:lang w:eastAsia="zh-CN"/>
              </w:rPr>
              <w:t>复印件</w:t>
            </w:r>
            <w:r>
              <w:rPr>
                <w:rFonts w:hint="eastAsia" w:ascii="Times New Roman"/>
                <w:kern w:val="2"/>
                <w:sz w:val="21"/>
                <w:szCs w:val="21"/>
                <w:highlight w:val="none"/>
              </w:rPr>
              <w:t>（或扫描件）正</w:t>
            </w:r>
            <w:r>
              <w:rPr>
                <w:rFonts w:hint="eastAsia"/>
                <w:kern w:val="2"/>
                <w:sz w:val="21"/>
                <w:szCs w:val="21"/>
                <w:highlight w:val="none"/>
                <w:lang w:eastAsia="zh-CN"/>
              </w:rPr>
              <w:t>、背面</w:t>
            </w:r>
            <w:r>
              <w:rPr>
                <w:rFonts w:hint="eastAsia" w:ascii="Times New Roman"/>
                <w:kern w:val="2"/>
                <w:sz w:val="21"/>
                <w:szCs w:val="21"/>
                <w:highlight w:val="none"/>
              </w:rPr>
              <w:t>。</w:t>
            </w:r>
          </w:p>
        </w:tc>
      </w:tr>
    </w:tbl>
    <w:p w14:paraId="74452C4C">
      <w:pPr>
        <w:pStyle w:val="25"/>
        <w:bidi w:val="0"/>
        <w:rPr>
          <w:rFonts w:hint="default" w:ascii="宋体" w:hAnsi="宋体" w:cs="宋体"/>
          <w:sz w:val="24"/>
          <w:szCs w:val="24"/>
          <w:highlight w:val="none"/>
          <w:lang w:val="en-US" w:eastAsia="zh-CN"/>
        </w:rPr>
      </w:pPr>
      <w:r>
        <w:rPr>
          <w:rFonts w:hint="eastAsia" w:hAnsi="宋体" w:cs="仿宋"/>
          <w:szCs w:val="24"/>
          <w:highlight w:val="none"/>
        </w:rPr>
        <w:br w:type="page"/>
      </w:r>
      <w:bookmarkStart w:id="22" w:name="_投标承诺函"/>
      <w:bookmarkEnd w:id="22"/>
      <w:bookmarkStart w:id="23" w:name="_法人代表授权书"/>
      <w:bookmarkEnd w:id="23"/>
      <w:bookmarkStart w:id="24" w:name="_Toc1763"/>
      <w:bookmarkStart w:id="25" w:name="_Toc24386"/>
      <w:bookmarkStart w:id="26" w:name="_Toc4015"/>
      <w:bookmarkStart w:id="27" w:name="_Toc6287"/>
      <w:bookmarkStart w:id="28" w:name="_Toc20907"/>
      <w:bookmarkStart w:id="29" w:name="_Toc425695881"/>
      <w:bookmarkStart w:id="30" w:name="_Toc12239"/>
      <w:r>
        <w:rPr>
          <w:rFonts w:hint="eastAsia" w:ascii="宋体" w:hAnsi="宋体" w:cs="宋体"/>
          <w:sz w:val="24"/>
          <w:szCs w:val="24"/>
          <w:highlight w:val="none"/>
          <w:lang w:eastAsia="zh-CN"/>
        </w:rPr>
        <w:t>参评</w:t>
      </w:r>
      <w:r>
        <w:rPr>
          <w:rFonts w:hint="eastAsia" w:ascii="宋体" w:hAnsi="宋体" w:eastAsia="宋体" w:cs="宋体"/>
          <w:sz w:val="24"/>
          <w:szCs w:val="24"/>
          <w:highlight w:val="none"/>
        </w:rPr>
        <w:t>承诺书</w:t>
      </w:r>
      <w:bookmarkEnd w:id="24"/>
      <w:bookmarkEnd w:id="25"/>
      <w:bookmarkEnd w:id="26"/>
      <w:bookmarkEnd w:id="27"/>
      <w:bookmarkEnd w:id="28"/>
    </w:p>
    <w:p w14:paraId="46F933C2">
      <w:pPr>
        <w:bidi w:val="0"/>
        <w:jc w:val="center"/>
        <w:rPr>
          <w:rFonts w:hint="eastAsia"/>
          <w:sz w:val="22"/>
          <w:szCs w:val="28"/>
          <w:highlight w:val="none"/>
        </w:rPr>
      </w:pPr>
      <w:r>
        <w:rPr>
          <w:rFonts w:hint="eastAsia" w:ascii="宋体" w:hAnsi="宋体" w:eastAsia="宋体" w:cs="宋体"/>
          <w:b/>
          <w:bCs/>
          <w:sz w:val="28"/>
          <w:szCs w:val="28"/>
          <w:highlight w:val="none"/>
          <w:lang w:val="en-US" w:eastAsia="zh-CN"/>
        </w:rPr>
        <w:t>参评</w:t>
      </w:r>
      <w:bookmarkEnd w:id="29"/>
      <w:bookmarkEnd w:id="30"/>
      <w:bookmarkStart w:id="31" w:name="_Toc269222889"/>
      <w:bookmarkStart w:id="32" w:name="_Toc2130"/>
      <w:bookmarkStart w:id="33" w:name="_Toc5522"/>
      <w:r>
        <w:rPr>
          <w:rFonts w:hint="eastAsia" w:ascii="宋体" w:hAnsi="宋体" w:eastAsia="宋体" w:cs="宋体"/>
          <w:b/>
          <w:bCs/>
          <w:sz w:val="28"/>
          <w:szCs w:val="28"/>
          <w:highlight w:val="none"/>
          <w:lang w:val="en-US" w:eastAsia="zh-CN"/>
        </w:rPr>
        <w:t>承诺书</w:t>
      </w:r>
      <w:bookmarkEnd w:id="31"/>
      <w:bookmarkEnd w:id="32"/>
      <w:bookmarkEnd w:id="33"/>
    </w:p>
    <w:p w14:paraId="4407A8C6">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中山市公共交通运输集团有限公司：</w:t>
      </w:r>
    </w:p>
    <w:p w14:paraId="6230CFE8">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中山市公共交通运输集团有限公司</w:t>
      </w:r>
      <w:r>
        <w:rPr>
          <w:rFonts w:hint="eastAsia" w:ascii="宋体" w:hAnsi="宋体" w:cs="宋体"/>
          <w:sz w:val="24"/>
          <w:highlight w:val="none"/>
          <w:u w:val="single"/>
          <w:lang w:eastAsia="zh-CN"/>
        </w:rPr>
        <w:t>2026年</w:t>
      </w:r>
      <w:r>
        <w:rPr>
          <w:rFonts w:hint="eastAsia" w:ascii="宋体" w:hAnsi="宋体" w:cs="宋体"/>
          <w:sz w:val="24"/>
          <w:highlight w:val="none"/>
          <w:u w:val="single"/>
        </w:rPr>
        <w:t>电力市场交易售电代理项目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rPr>
        <w:t>文件所有的内容完全明了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并就有关事项向贵公司作出承诺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如我</w:t>
      </w:r>
      <w:r>
        <w:rPr>
          <w:rFonts w:hint="eastAsia" w:ascii="宋体" w:hAnsi="宋体" w:cs="宋体"/>
          <w:sz w:val="24"/>
          <w:szCs w:val="24"/>
          <w:highlight w:val="none"/>
          <w:lang w:val="en-US" w:eastAsia="zh-CN"/>
        </w:rPr>
        <w:t>公司</w:t>
      </w:r>
      <w:r>
        <w:rPr>
          <w:rFonts w:hint="eastAsia" w:ascii="宋体" w:hAnsi="宋体" w:eastAsia="宋体" w:cs="宋体"/>
          <w:sz w:val="24"/>
          <w:szCs w:val="24"/>
          <w:highlight w:val="none"/>
        </w:rPr>
        <w:t>被确认为中山市公共交通运输集团有限公司</w:t>
      </w:r>
      <w:r>
        <w:rPr>
          <w:rFonts w:hint="eastAsia" w:ascii="宋体" w:hAnsi="宋体" w:cs="宋体"/>
          <w:sz w:val="24"/>
          <w:highlight w:val="none"/>
          <w:lang w:eastAsia="zh-CN"/>
        </w:rPr>
        <w:t>2026年</w:t>
      </w:r>
      <w:r>
        <w:rPr>
          <w:rFonts w:hint="eastAsia" w:ascii="宋体" w:hAnsi="宋体" w:cs="宋体"/>
          <w:sz w:val="24"/>
          <w:highlight w:val="none"/>
        </w:rPr>
        <w:t>电力市场交易售电代理项目</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中选</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sz w:val="24"/>
          <w:szCs w:val="24"/>
          <w:highlight w:val="none"/>
        </w:rPr>
        <w:t>，我</w:t>
      </w:r>
      <w:r>
        <w:rPr>
          <w:rFonts w:hint="eastAsia" w:ascii="宋体" w:hAnsi="宋体" w:cs="宋体"/>
          <w:sz w:val="24"/>
          <w:szCs w:val="24"/>
          <w:highlight w:val="none"/>
          <w:lang w:val="en-US" w:eastAsia="zh-CN"/>
        </w:rPr>
        <w:t>公司</w:t>
      </w:r>
      <w:r>
        <w:rPr>
          <w:rFonts w:hint="eastAsia" w:ascii="宋体" w:hAnsi="宋体" w:eastAsia="宋体" w:cs="宋体"/>
          <w:sz w:val="24"/>
          <w:szCs w:val="24"/>
          <w:highlight w:val="none"/>
        </w:rPr>
        <w:t>保证：</w:t>
      </w:r>
    </w:p>
    <w:p w14:paraId="50A6FBAF">
      <w:pPr>
        <w:numPr>
          <w:ilvl w:val="0"/>
          <w:numId w:val="16"/>
        </w:numPr>
        <w:autoSpaceDE w:val="0"/>
        <w:autoSpaceDN w:val="0"/>
        <w:adjustRightInd w:val="0"/>
        <w:spacing w:line="360" w:lineRule="auto"/>
        <w:ind w:firstLine="480" w:firstLineChars="200"/>
        <w:jc w:val="left"/>
        <w:textAlignment w:val="baseline"/>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我公司非联合体参评本项目，承诺不将本项目转包、分包；</w:t>
      </w:r>
    </w:p>
    <w:p w14:paraId="63D32975">
      <w:pPr>
        <w:numPr>
          <w:ilvl w:val="0"/>
          <w:numId w:val="16"/>
        </w:numPr>
        <w:autoSpaceDE w:val="0"/>
        <w:autoSpaceDN w:val="0"/>
        <w:adjustRightInd w:val="0"/>
        <w:spacing w:line="360" w:lineRule="auto"/>
        <w:ind w:firstLine="480" w:firstLineChars="200"/>
        <w:jc w:val="left"/>
        <w:textAlignment w:val="baseline"/>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法定代表人为同一人的两个及两个以上法人，母公司、全资子公司及其控股公司，不同时参与本项目；</w:t>
      </w:r>
    </w:p>
    <w:p w14:paraId="3762810E">
      <w:pPr>
        <w:numPr>
          <w:ilvl w:val="0"/>
          <w:numId w:val="16"/>
        </w:numPr>
        <w:autoSpaceDE w:val="0"/>
        <w:autoSpaceDN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提供满足“用户需求书”要求的服务；</w:t>
      </w:r>
    </w:p>
    <w:p w14:paraId="6B17E07D">
      <w:pPr>
        <w:numPr>
          <w:ilvl w:val="0"/>
          <w:numId w:val="16"/>
        </w:numPr>
        <w:autoSpaceDE w:val="0"/>
        <w:autoSpaceDN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保证按</w:t>
      </w:r>
      <w:r>
        <w:rPr>
          <w:rFonts w:hint="eastAsia" w:ascii="宋体" w:hAnsi="宋体" w:cs="宋体"/>
          <w:sz w:val="24"/>
          <w:szCs w:val="24"/>
          <w:highlight w:val="none"/>
          <w:lang w:val="en-US" w:eastAsia="zh-CN"/>
        </w:rPr>
        <w:t>评选文件要求</w:t>
      </w:r>
      <w:r>
        <w:rPr>
          <w:rFonts w:hint="eastAsia" w:ascii="宋体" w:hAnsi="宋体" w:eastAsia="宋体" w:cs="宋体"/>
          <w:sz w:val="24"/>
          <w:szCs w:val="24"/>
          <w:highlight w:val="none"/>
        </w:rPr>
        <w:t>与用户签订</w:t>
      </w:r>
      <w:r>
        <w:rPr>
          <w:rFonts w:hint="eastAsia" w:ascii="宋体" w:hAnsi="宋体" w:cs="宋体"/>
          <w:sz w:val="24"/>
          <w:szCs w:val="24"/>
          <w:highlight w:val="none"/>
          <w:lang w:eastAsia="zh-CN"/>
        </w:rPr>
        <w:t>线上</w:t>
      </w:r>
      <w:r>
        <w:rPr>
          <w:rFonts w:hint="eastAsia" w:ascii="宋体" w:hAnsi="宋体" w:eastAsia="宋体" w:cs="宋体"/>
          <w:sz w:val="24"/>
          <w:szCs w:val="24"/>
          <w:highlight w:val="none"/>
        </w:rPr>
        <w:t>合同</w:t>
      </w:r>
      <w:r>
        <w:rPr>
          <w:rFonts w:hint="eastAsia" w:ascii="宋体" w:hAnsi="宋体" w:cs="宋体"/>
          <w:sz w:val="24"/>
          <w:szCs w:val="24"/>
          <w:highlight w:val="none"/>
          <w:lang w:eastAsia="zh-CN"/>
        </w:rPr>
        <w:t>及补充合同</w:t>
      </w:r>
      <w:r>
        <w:rPr>
          <w:rFonts w:hint="eastAsia" w:ascii="宋体" w:hAnsi="宋体" w:eastAsia="宋体" w:cs="宋体"/>
          <w:sz w:val="24"/>
          <w:szCs w:val="24"/>
          <w:highlight w:val="none"/>
        </w:rPr>
        <w:t>，并严格执行</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文件及合同的有关规定。</w:t>
      </w:r>
    </w:p>
    <w:p w14:paraId="7F94D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2A290DC">
      <w:pPr>
        <w:spacing w:line="480" w:lineRule="auto"/>
        <w:ind w:right="420"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cs="宋体"/>
          <w:sz w:val="24"/>
          <w:szCs w:val="24"/>
          <w:highlight w:val="none"/>
          <w:u w:val="single"/>
          <w:lang w:val="en-US" w:eastAsia="zh-CN"/>
        </w:rPr>
        <w:t>______________</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盖章</w:t>
      </w:r>
      <w:r>
        <w:rPr>
          <w:rFonts w:hint="eastAsia" w:ascii="宋体" w:hAnsi="宋体" w:eastAsia="宋体" w:cs="宋体"/>
          <w:sz w:val="24"/>
          <w:szCs w:val="24"/>
          <w:highlight w:val="none"/>
        </w:rPr>
        <w:t>）</w:t>
      </w:r>
    </w:p>
    <w:p w14:paraId="39C6C6AE">
      <w:pPr>
        <w:spacing w:line="480" w:lineRule="auto"/>
        <w:ind w:right="420" w:firstLine="4320" w:firstLineChars="1800"/>
        <w:rPr>
          <w:rFonts w:hint="eastAsia" w:ascii="宋体" w:hAnsi="宋体"/>
          <w:sz w:val="24"/>
          <w:szCs w:val="24"/>
          <w:highlight w:val="none"/>
        </w:rPr>
      </w:pPr>
      <w:r>
        <w:rPr>
          <w:rFonts w:hint="eastAsia" w:ascii="宋体" w:hAnsi="宋体"/>
          <w:sz w:val="24"/>
          <w:szCs w:val="24"/>
          <w:highlight w:val="none"/>
        </w:rPr>
        <w:t>法人代表或被授权代表签名：</w:t>
      </w:r>
    </w:p>
    <w:p w14:paraId="2E0F5EE5">
      <w:pPr>
        <w:spacing w:line="360" w:lineRule="auto"/>
        <w:ind w:firstLine="4320" w:firstLineChars="1800"/>
        <w:rPr>
          <w:rFonts w:hint="eastAsia" w:ascii="宋体" w:hAnsi="宋体" w:eastAsia="宋体" w:cs="宋体"/>
          <w:sz w:val="24"/>
          <w:szCs w:val="24"/>
          <w:highlight w:val="none"/>
          <w:lang w:eastAsia="zh-CN"/>
        </w:rPr>
      </w:pPr>
      <w:r>
        <w:rPr>
          <w:rFonts w:hint="eastAsia" w:ascii="宋体" w:hAnsi="宋体"/>
          <w:sz w:val="24"/>
          <w:szCs w:val="24"/>
          <w:highlight w:val="none"/>
        </w:rPr>
        <w:t>日  期：</w:t>
      </w: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年   月   日</w:t>
      </w:r>
    </w:p>
    <w:p w14:paraId="77D9ADCB">
      <w:pPr>
        <w:spacing w:line="240" w:lineRule="auto"/>
        <w:ind w:right="0" w:firstLine="0" w:firstLineChars="0"/>
        <w:rPr>
          <w:rFonts w:hint="eastAsia" w:ascii="宋体" w:hAnsi="宋体"/>
          <w:sz w:val="24"/>
          <w:szCs w:val="24"/>
          <w:highlight w:val="none"/>
        </w:rPr>
      </w:pPr>
      <w:r>
        <w:rPr>
          <w:rFonts w:hint="eastAsia" w:ascii="宋体" w:hAnsi="宋体"/>
          <w:sz w:val="24"/>
          <w:szCs w:val="24"/>
          <w:highlight w:val="none"/>
        </w:rPr>
        <w:br w:type="page"/>
      </w:r>
    </w:p>
    <w:p w14:paraId="5F6B94E4">
      <w:pPr>
        <w:pStyle w:val="25"/>
        <w:bidi w:val="0"/>
        <w:rPr>
          <w:rFonts w:hint="eastAsia"/>
          <w:highlight w:val="none"/>
          <w:lang w:eastAsia="zh-CN"/>
        </w:rPr>
      </w:pPr>
      <w:bookmarkStart w:id="34" w:name="_Toc16641"/>
      <w:bookmarkStart w:id="35" w:name="_Toc29640"/>
      <w:bookmarkStart w:id="36" w:name="_Toc20991"/>
      <w:bookmarkStart w:id="37" w:name="_Toc2994"/>
      <w:bookmarkStart w:id="38" w:name="_Toc18759"/>
      <w:r>
        <w:rPr>
          <w:rFonts w:hint="eastAsia" w:ascii="宋体" w:hAnsi="宋体" w:cs="宋体"/>
          <w:b/>
          <w:bCs/>
          <w:sz w:val="24"/>
          <w:szCs w:val="24"/>
          <w:highlight w:val="none"/>
          <w:lang w:eastAsia="zh-CN"/>
        </w:rPr>
        <w:t>企业营业执照</w:t>
      </w:r>
      <w:bookmarkEnd w:id="34"/>
      <w:bookmarkEnd w:id="35"/>
      <w:bookmarkEnd w:id="36"/>
      <w:bookmarkEnd w:id="37"/>
      <w:bookmarkEnd w:id="38"/>
    </w:p>
    <w:p w14:paraId="4EF42CB2">
      <w:pPr>
        <w:spacing w:line="480" w:lineRule="auto"/>
        <w:ind w:right="420" w:firstLine="0" w:firstLineChars="0"/>
        <w:jc w:val="center"/>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企业营业执照</w:t>
      </w:r>
    </w:p>
    <w:p w14:paraId="1D737329">
      <w:pPr>
        <w:spacing w:line="480" w:lineRule="auto"/>
        <w:ind w:right="420" w:firstLine="0" w:firstLineChars="0"/>
        <w:jc w:val="center"/>
        <w:rPr>
          <w:rFonts w:hint="eastAsia" w:ascii="宋体" w:hAnsi="宋体" w:cs="宋体"/>
          <w:b/>
          <w:bCs/>
          <w:sz w:val="24"/>
          <w:szCs w:val="24"/>
          <w:highlight w:val="none"/>
          <w:lang w:eastAsia="zh-CN"/>
        </w:rPr>
      </w:pPr>
    </w:p>
    <w:p w14:paraId="5D42E5C5">
      <w:pPr>
        <w:spacing w:line="240" w:lineRule="auto"/>
        <w:ind w:right="0" w:firstLine="0" w:firstLineChars="0"/>
        <w:jc w:val="left"/>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br w:type="page"/>
      </w:r>
    </w:p>
    <w:p w14:paraId="4E472023">
      <w:pPr>
        <w:pStyle w:val="25"/>
        <w:bidi w:val="0"/>
        <w:rPr>
          <w:rFonts w:hint="eastAsia"/>
          <w:highlight w:val="none"/>
          <w:lang w:eastAsia="zh-CN"/>
        </w:rPr>
      </w:pPr>
      <w:bookmarkStart w:id="39" w:name="_Toc28073"/>
      <w:bookmarkStart w:id="40" w:name="_Toc17028"/>
      <w:bookmarkStart w:id="41" w:name="_Toc15850"/>
      <w:bookmarkStart w:id="42" w:name="_Toc29300"/>
      <w:bookmarkStart w:id="43" w:name="_Toc18266"/>
      <w:r>
        <w:rPr>
          <w:rFonts w:hint="eastAsia"/>
          <w:highlight w:val="none"/>
          <w:lang w:eastAsia="zh-CN"/>
        </w:rPr>
        <w:t>参评单位代表的社保证明</w:t>
      </w:r>
      <w:bookmarkEnd w:id="39"/>
      <w:bookmarkEnd w:id="40"/>
      <w:bookmarkEnd w:id="41"/>
      <w:bookmarkEnd w:id="42"/>
      <w:bookmarkEnd w:id="43"/>
    </w:p>
    <w:p w14:paraId="3200B348">
      <w:pPr>
        <w:rPr>
          <w:rFonts w:hint="eastAsia"/>
          <w:highlight w:val="none"/>
          <w:lang w:eastAsia="zh-CN"/>
        </w:rPr>
      </w:pPr>
      <w:r>
        <w:rPr>
          <w:rFonts w:hint="eastAsia"/>
          <w:highlight w:val="none"/>
          <w:lang w:eastAsia="zh-CN"/>
        </w:rPr>
        <w:t>参评单位代表的社保证明（2025年6月至今任意3个月）。如果该代表入职不足3个月，则提供其劳动合同复印件。</w:t>
      </w:r>
    </w:p>
    <w:p w14:paraId="2AD3E691">
      <w:pPr>
        <w:rPr>
          <w:rFonts w:hint="eastAsia"/>
          <w:highlight w:val="none"/>
          <w:lang w:eastAsia="zh-CN"/>
        </w:rPr>
      </w:pPr>
    </w:p>
    <w:p w14:paraId="4321CB41">
      <w:pPr>
        <w:rPr>
          <w:highlight w:val="none"/>
        </w:rPr>
      </w:pPr>
      <w:r>
        <w:rPr>
          <w:highlight w:val="none"/>
        </w:rPr>
        <w:br w:type="page"/>
      </w:r>
    </w:p>
    <w:p w14:paraId="6ACD3AB8">
      <w:pPr>
        <w:pStyle w:val="25"/>
        <w:bidi w:val="0"/>
        <w:rPr>
          <w:rFonts w:hint="eastAsia"/>
          <w:highlight w:val="none"/>
          <w:lang w:eastAsia="zh-CN"/>
        </w:rPr>
      </w:pPr>
      <w:bookmarkStart w:id="44" w:name="_Toc18394"/>
      <w:bookmarkStart w:id="45" w:name="_Toc3231"/>
      <w:bookmarkStart w:id="46" w:name="_Toc27587"/>
      <w:bookmarkStart w:id="47" w:name="_Toc30293"/>
      <w:bookmarkStart w:id="48" w:name="_Toc4887"/>
      <w:r>
        <w:rPr>
          <w:rFonts w:hint="eastAsia"/>
          <w:highlight w:val="none"/>
          <w:lang w:eastAsia="zh-CN"/>
        </w:rPr>
        <w:t>电力交易履约担保凭证</w:t>
      </w:r>
      <w:bookmarkEnd w:id="44"/>
      <w:bookmarkEnd w:id="45"/>
      <w:bookmarkEnd w:id="46"/>
      <w:bookmarkEnd w:id="47"/>
      <w:bookmarkEnd w:id="48"/>
    </w:p>
    <w:p w14:paraId="123616C5">
      <w:pPr>
        <w:rPr>
          <w:rFonts w:hint="eastAsia"/>
          <w:highlight w:val="none"/>
          <w:lang w:eastAsia="zh-CN"/>
        </w:rPr>
      </w:pPr>
      <w:r>
        <w:rPr>
          <w:rFonts w:hint="eastAsia"/>
          <w:highlight w:val="none"/>
          <w:lang w:eastAsia="zh-CN"/>
        </w:rPr>
        <w:t>根据广东电力市场履约风险管理实施细则设立的售电公司电力交易履约担保凭证，初始信用额度合计不低于1</w:t>
      </w:r>
      <w:r>
        <w:rPr>
          <w:rFonts w:hint="eastAsia"/>
          <w:highlight w:val="none"/>
          <w:lang w:val="en-US" w:eastAsia="zh-CN"/>
        </w:rPr>
        <w:t>6</w:t>
      </w:r>
      <w:r>
        <w:rPr>
          <w:rFonts w:hint="eastAsia"/>
          <w:highlight w:val="none"/>
          <w:lang w:eastAsia="zh-CN"/>
        </w:rPr>
        <w:t>00万元，有效期覆盖2026年1月1日至2027年3月31日。</w:t>
      </w:r>
    </w:p>
    <w:p w14:paraId="0130C4AF">
      <w:pPr>
        <w:rPr>
          <w:rFonts w:hint="eastAsia"/>
          <w:highlight w:val="none"/>
          <w:lang w:eastAsia="zh-CN"/>
        </w:rPr>
      </w:pPr>
      <w:r>
        <w:rPr>
          <w:rFonts w:hint="eastAsia"/>
          <w:highlight w:val="none"/>
          <w:lang w:eastAsia="zh-CN"/>
        </w:rPr>
        <w:br w:type="page"/>
      </w:r>
    </w:p>
    <w:p w14:paraId="711C1F84">
      <w:pPr>
        <w:pStyle w:val="25"/>
        <w:bidi w:val="0"/>
        <w:rPr>
          <w:rFonts w:hint="eastAsia"/>
          <w:highlight w:val="none"/>
          <w:lang w:eastAsia="zh-CN"/>
        </w:rPr>
      </w:pPr>
      <w:bookmarkStart w:id="49" w:name="_Toc12836"/>
      <w:bookmarkStart w:id="50" w:name="_Toc24551"/>
      <w:bookmarkStart w:id="51" w:name="_Toc29636"/>
      <w:bookmarkStart w:id="52" w:name="_Toc4440"/>
      <w:bookmarkStart w:id="53" w:name="_Toc11996"/>
      <w:r>
        <w:rPr>
          <w:rFonts w:hint="eastAsia"/>
          <w:highlight w:val="none"/>
          <w:lang w:eastAsia="zh-CN"/>
        </w:rPr>
        <w:t>参评保证金</w:t>
      </w:r>
      <w:bookmarkEnd w:id="49"/>
      <w:bookmarkEnd w:id="50"/>
      <w:bookmarkEnd w:id="51"/>
      <w:bookmarkEnd w:id="52"/>
      <w:bookmarkEnd w:id="53"/>
    </w:p>
    <w:p w14:paraId="26CEC939">
      <w:pPr>
        <w:rPr>
          <w:rFonts w:hint="eastAsia"/>
          <w:highlight w:val="none"/>
          <w:lang w:eastAsia="zh-CN"/>
        </w:rPr>
      </w:pPr>
      <w:r>
        <w:rPr>
          <w:rFonts w:hint="eastAsia"/>
          <w:highlight w:val="none"/>
          <w:lang w:eastAsia="zh-CN"/>
        </w:rPr>
        <w:t>参评保证金凭证须为人民币壹拾肆万元整（¥140,000.00），可通过两种方式缴纳：一是将款项直接转账至需求方指定银行账户，二是由银行开具以“中山市公共交通运输集团有限公司”为受益人、不可撤销的见索即付保函，且出具保函的银行须在中山市辖区内设有分行或支行；若采用银行转账方式，应提供转账凭证复印件；若以银行保函形式提交，则必须提供保函纸质原件；如保函为电子形式，须使用彩色打印机打印成纸质文件，并同步附上银行发送的保函通知截图或验证二维码。</w:t>
      </w:r>
    </w:p>
    <w:p w14:paraId="5187A0A9">
      <w:pPr>
        <w:rPr>
          <w:rFonts w:hint="eastAsia" w:eastAsia="宋体"/>
          <w:highlight w:val="none"/>
          <w:lang w:eastAsia="zh-CN"/>
        </w:rPr>
      </w:pPr>
    </w:p>
    <w:p w14:paraId="0F7EEA8B">
      <w:pPr>
        <w:rPr>
          <w:rFonts w:hint="eastAsia"/>
          <w:highlight w:val="none"/>
          <w:lang w:eastAsia="zh-CN"/>
        </w:rPr>
      </w:pPr>
      <w:r>
        <w:rPr>
          <w:rFonts w:hint="eastAsia"/>
          <w:highlight w:val="none"/>
          <w:lang w:eastAsia="zh-CN"/>
        </w:rPr>
        <w:br w:type="page"/>
      </w:r>
    </w:p>
    <w:p w14:paraId="2FFB0CAB">
      <w:pPr>
        <w:pStyle w:val="25"/>
        <w:bidi w:val="0"/>
        <w:rPr>
          <w:rFonts w:hint="eastAsia"/>
          <w:highlight w:val="none"/>
          <w:lang w:eastAsia="zh-CN"/>
        </w:rPr>
      </w:pPr>
      <w:bookmarkStart w:id="54" w:name="_Toc3407"/>
      <w:bookmarkStart w:id="55" w:name="_Toc31016"/>
      <w:bookmarkStart w:id="56" w:name="_Toc28481"/>
      <w:bookmarkStart w:id="57" w:name="_Toc23382"/>
      <w:bookmarkStart w:id="58" w:name="_Toc15982"/>
      <w:r>
        <w:rPr>
          <w:rFonts w:hint="eastAsia"/>
          <w:highlight w:val="none"/>
          <w:lang w:eastAsia="zh-CN"/>
        </w:rPr>
        <w:t>参评保证金退款账户变更申请函</w:t>
      </w:r>
      <w:bookmarkEnd w:id="54"/>
      <w:bookmarkEnd w:id="55"/>
      <w:bookmarkEnd w:id="56"/>
      <w:bookmarkEnd w:id="57"/>
      <w:bookmarkEnd w:id="58"/>
    </w:p>
    <w:p w14:paraId="3908E3E3">
      <w:pPr>
        <w:bidi w:val="0"/>
        <w:rPr>
          <w:rFonts w:hint="eastAsia"/>
          <w:highlight w:val="none"/>
          <w:lang w:eastAsia="zh-CN"/>
        </w:rPr>
      </w:pPr>
      <w:r>
        <w:rPr>
          <w:rFonts w:hint="eastAsia"/>
          <w:highlight w:val="none"/>
          <w:lang w:eastAsia="zh-CN"/>
        </w:rPr>
        <w:t>（适用于银行转账方式缴纳保证金，且退款账户与原缴纳账户不一致的情形）</w:t>
      </w:r>
    </w:p>
    <w:p w14:paraId="3A66DDF9">
      <w:pPr>
        <w:rPr>
          <w:rFonts w:hint="eastAsia" w:ascii="宋体" w:hAnsi="宋体" w:cs="宋体"/>
          <w:b/>
          <w:bCs/>
          <w:sz w:val="24"/>
          <w:highlight w:val="none"/>
          <w:lang w:eastAsia="zh-CN"/>
        </w:rPr>
      </w:pPr>
    </w:p>
    <w:p w14:paraId="77B649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eastAsia="zh-CN"/>
        </w:rPr>
      </w:pPr>
      <w:r>
        <w:rPr>
          <w:rFonts w:hint="eastAsia" w:ascii="宋体" w:hAnsi="宋体" w:cs="宋体"/>
          <w:b/>
          <w:bCs/>
          <w:sz w:val="40"/>
          <w:szCs w:val="40"/>
          <w:highlight w:val="none"/>
          <w:lang w:eastAsia="zh-CN"/>
        </w:rPr>
        <w:t>参评保证金退款账户变更申请函</w:t>
      </w:r>
    </w:p>
    <w:p w14:paraId="6ECF16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eastAsia="zh-CN"/>
        </w:rPr>
      </w:pPr>
    </w:p>
    <w:p w14:paraId="13BE97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中山市公共交通运输集团有限公司：</w:t>
      </w:r>
    </w:p>
    <w:p w14:paraId="4C3A5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我司（参评单位名称：</w:t>
      </w:r>
      <w:r>
        <w:rPr>
          <w:rFonts w:hint="eastAsia" w:ascii="宋体" w:hAnsi="宋体" w:cs="宋体"/>
          <w:b w:val="0"/>
          <w:bCs w:val="0"/>
          <w:sz w:val="24"/>
          <w:highlight w:val="none"/>
          <w:lang w:val="en-US" w:eastAsia="zh-CN"/>
        </w:rPr>
        <w:t>_______________</w:t>
      </w:r>
      <w:r>
        <w:rPr>
          <w:rFonts w:hint="eastAsia" w:ascii="宋体" w:hAnsi="宋体" w:cs="宋体"/>
          <w:b w:val="0"/>
          <w:bCs w:val="0"/>
          <w:sz w:val="24"/>
          <w:highlight w:val="none"/>
          <w:lang w:eastAsia="zh-CN"/>
        </w:rPr>
        <w:t>________）已参与贵司组织的“中山公交2026年电力市场交易售电代理项目”评选，并已于2025年</w:t>
      </w:r>
      <w:r>
        <w:rPr>
          <w:rFonts w:hint="eastAsia" w:ascii="宋体" w:hAnsi="宋体" w:cs="宋体"/>
          <w:b w:val="0"/>
          <w:bCs w:val="0"/>
          <w:sz w:val="24"/>
          <w:highlight w:val="none"/>
          <w:lang w:val="en-US" w:eastAsia="zh-CN"/>
        </w:rPr>
        <w:t>___</w:t>
      </w:r>
      <w:r>
        <w:rPr>
          <w:rFonts w:hint="eastAsia" w:ascii="宋体" w:hAnsi="宋体" w:cs="宋体"/>
          <w:b w:val="0"/>
          <w:bCs w:val="0"/>
          <w:sz w:val="24"/>
          <w:highlight w:val="none"/>
          <w:lang w:eastAsia="zh-CN"/>
        </w:rPr>
        <w:t>月</w:t>
      </w:r>
      <w:r>
        <w:rPr>
          <w:rFonts w:hint="eastAsia" w:ascii="宋体" w:hAnsi="宋体" w:cs="宋体"/>
          <w:b w:val="0"/>
          <w:bCs w:val="0"/>
          <w:sz w:val="24"/>
          <w:highlight w:val="none"/>
          <w:lang w:val="en-US" w:eastAsia="zh-CN"/>
        </w:rPr>
        <w:t>___</w:t>
      </w:r>
      <w:r>
        <w:rPr>
          <w:rFonts w:hint="eastAsia" w:ascii="宋体" w:hAnsi="宋体" w:cs="宋体"/>
          <w:b w:val="0"/>
          <w:bCs w:val="0"/>
          <w:sz w:val="24"/>
          <w:highlight w:val="none"/>
          <w:lang w:eastAsia="zh-CN"/>
        </w:rPr>
        <w:t>日通过银行转账方式缴纳参评保证金人民币壹拾肆万元整（¥140,000.00）。</w:t>
      </w:r>
    </w:p>
    <w:p w14:paraId="1EB532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因</w:t>
      </w:r>
      <w:r>
        <w:rPr>
          <w:rFonts w:hint="eastAsia" w:ascii="宋体" w:hAnsi="宋体" w:cs="宋体"/>
          <w:b w:val="0"/>
          <w:bCs w:val="0"/>
          <w:sz w:val="24"/>
          <w:highlight w:val="none"/>
          <w:lang w:val="en-US" w:eastAsia="zh-CN"/>
        </w:rPr>
        <w:t>________________</w:t>
      </w:r>
      <w:r>
        <w:rPr>
          <w:rFonts w:hint="eastAsia" w:ascii="宋体" w:hAnsi="宋体" w:cs="宋体"/>
          <w:b w:val="0"/>
          <w:bCs w:val="0"/>
          <w:sz w:val="24"/>
          <w:highlight w:val="none"/>
          <w:lang w:eastAsia="zh-CN"/>
        </w:rPr>
        <w:t>要求，参评保证金无法由原缴纳账户直接接收退款，现特向贵司申请将上述参评保证金退还至我司以下账户：</w:t>
      </w:r>
    </w:p>
    <w:p w14:paraId="405282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开户名称：</w:t>
      </w:r>
      <w:r>
        <w:rPr>
          <w:rFonts w:hint="eastAsia" w:ascii="宋体" w:hAnsi="宋体" w:cs="宋体"/>
          <w:b w:val="0"/>
          <w:bCs w:val="0"/>
          <w:sz w:val="24"/>
          <w:highlight w:val="none"/>
          <w:lang w:val="en-US" w:eastAsia="zh-CN"/>
        </w:rPr>
        <w:t>_______________</w:t>
      </w:r>
      <w:r>
        <w:rPr>
          <w:rFonts w:hint="eastAsia" w:ascii="宋体" w:hAnsi="宋体" w:cs="宋体"/>
          <w:b w:val="0"/>
          <w:bCs w:val="0"/>
          <w:sz w:val="24"/>
          <w:highlight w:val="none"/>
          <w:lang w:eastAsia="zh-CN"/>
        </w:rPr>
        <w:t>________</w:t>
      </w:r>
    </w:p>
    <w:p w14:paraId="5184E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开户银行：</w:t>
      </w:r>
      <w:r>
        <w:rPr>
          <w:rFonts w:hint="eastAsia" w:ascii="宋体" w:hAnsi="宋体" w:cs="宋体"/>
          <w:b w:val="0"/>
          <w:bCs w:val="0"/>
          <w:sz w:val="24"/>
          <w:highlight w:val="none"/>
          <w:lang w:val="en-US" w:eastAsia="zh-CN"/>
        </w:rPr>
        <w:t>_______________</w:t>
      </w:r>
      <w:r>
        <w:rPr>
          <w:rFonts w:hint="eastAsia" w:ascii="宋体" w:hAnsi="宋体" w:cs="宋体"/>
          <w:b w:val="0"/>
          <w:bCs w:val="0"/>
          <w:sz w:val="24"/>
          <w:highlight w:val="none"/>
          <w:lang w:eastAsia="zh-CN"/>
        </w:rPr>
        <w:t>________</w:t>
      </w:r>
    </w:p>
    <w:p w14:paraId="43B09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银行账号：</w:t>
      </w:r>
      <w:r>
        <w:rPr>
          <w:rFonts w:hint="eastAsia" w:ascii="宋体" w:hAnsi="宋体" w:cs="宋体"/>
          <w:b w:val="0"/>
          <w:bCs w:val="0"/>
          <w:sz w:val="24"/>
          <w:highlight w:val="none"/>
          <w:lang w:val="en-US" w:eastAsia="zh-CN"/>
        </w:rPr>
        <w:t>_______________</w:t>
      </w:r>
      <w:r>
        <w:rPr>
          <w:rFonts w:hint="eastAsia" w:ascii="宋体" w:hAnsi="宋体" w:cs="宋体"/>
          <w:b w:val="0"/>
          <w:bCs w:val="0"/>
          <w:sz w:val="24"/>
          <w:highlight w:val="none"/>
          <w:lang w:eastAsia="zh-CN"/>
        </w:rPr>
        <w:t>________</w:t>
      </w:r>
    </w:p>
    <w:p w14:paraId="48663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本次变更为纯收款账户调整，不影响我司参评资格与相关承诺。如我司中选，将严格按评选文件要求签订合同并履行义务；如未中选，请贵司在合同签订后按上述账户信息办理保证金退款手续。</w:t>
      </w:r>
    </w:p>
    <w:p w14:paraId="350C05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顺祝商祺</w:t>
      </w:r>
    </w:p>
    <w:p w14:paraId="5AFC4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p>
    <w:p w14:paraId="0A124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eastAsia="zh-CN"/>
        </w:rPr>
      </w:pPr>
    </w:p>
    <w:p w14:paraId="6366746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XX公司</w:t>
      </w:r>
    </w:p>
    <w:p w14:paraId="3C9B216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年   月   日</w:t>
      </w:r>
    </w:p>
    <w:p w14:paraId="11874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eastAsia="zh-CN"/>
        </w:rPr>
      </w:pPr>
    </w:p>
    <w:p w14:paraId="70AD32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eastAsia="zh-CN"/>
        </w:rPr>
      </w:pPr>
    </w:p>
    <w:p w14:paraId="684CC0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eastAsia="zh-CN"/>
        </w:rPr>
      </w:pPr>
      <w:r>
        <w:rPr>
          <w:rFonts w:hint="eastAsia" w:ascii="宋体" w:hAnsi="宋体" w:cs="宋体"/>
          <w:b w:val="0"/>
          <w:bCs w:val="0"/>
          <w:sz w:val="24"/>
          <w:highlight w:val="none"/>
          <w:lang w:eastAsia="zh-CN"/>
        </w:rPr>
        <w:t>附件：参评保证金支付凭证复印件</w:t>
      </w:r>
    </w:p>
    <w:p w14:paraId="7581B2DE">
      <w:pPr>
        <w:rPr>
          <w:rFonts w:hint="eastAsia" w:ascii="宋体" w:hAnsi="宋体" w:cs="宋体"/>
          <w:b/>
          <w:bCs/>
          <w:sz w:val="24"/>
          <w:highlight w:val="none"/>
          <w:lang w:eastAsia="zh-CN"/>
        </w:rPr>
      </w:pPr>
      <w:r>
        <w:rPr>
          <w:rFonts w:hint="eastAsia" w:ascii="宋体" w:hAnsi="宋体" w:cs="宋体"/>
          <w:b/>
          <w:bCs/>
          <w:sz w:val="24"/>
          <w:highlight w:val="none"/>
          <w:lang w:eastAsia="zh-CN"/>
        </w:rPr>
        <w:br w:type="page"/>
      </w:r>
    </w:p>
    <w:p w14:paraId="6E1ABEE1">
      <w:pPr>
        <w:pStyle w:val="25"/>
        <w:bidi w:val="0"/>
        <w:rPr>
          <w:rFonts w:hint="eastAsia"/>
          <w:highlight w:val="none"/>
          <w:lang w:val="en-US" w:eastAsia="zh-CN"/>
        </w:rPr>
      </w:pPr>
      <w:bookmarkStart w:id="59" w:name="_Toc8580"/>
      <w:bookmarkStart w:id="60" w:name="_Toc9532"/>
      <w:bookmarkStart w:id="61" w:name="_Toc2980"/>
      <w:bookmarkStart w:id="62" w:name="_Toc24908"/>
      <w:bookmarkStart w:id="63" w:name="_Toc22898"/>
      <w:r>
        <w:rPr>
          <w:rFonts w:hint="eastAsia"/>
          <w:highlight w:val="none"/>
          <w:lang w:val="en-US" w:eastAsia="zh-CN"/>
        </w:rPr>
        <w:t>增值服务承诺书（设备巡检及光伏清洗）</w:t>
      </w:r>
      <w:bookmarkEnd w:id="59"/>
      <w:bookmarkEnd w:id="60"/>
      <w:bookmarkEnd w:id="61"/>
      <w:bookmarkEnd w:id="62"/>
      <w:bookmarkEnd w:id="63"/>
    </w:p>
    <w:p w14:paraId="7A5061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1D77F3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增值服务承诺书</w:t>
      </w:r>
    </w:p>
    <w:p w14:paraId="2E8F90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724165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43225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我司</w:t>
      </w:r>
      <w:r>
        <w:rPr>
          <w:rFonts w:hint="eastAsia" w:ascii="宋体" w:hAnsi="宋体" w:cs="宋体"/>
          <w:b w:val="0"/>
          <w:bCs w:val="0"/>
          <w:sz w:val="24"/>
          <w:highlight w:val="none"/>
          <w:lang w:eastAsia="zh-CN"/>
        </w:rPr>
        <w:t>（参评单位名称：</w:t>
      </w:r>
      <w:r>
        <w:rPr>
          <w:rFonts w:hint="eastAsia" w:ascii="宋体" w:hAnsi="宋体" w:cs="宋体"/>
          <w:b w:val="0"/>
          <w:bCs w:val="0"/>
          <w:sz w:val="24"/>
          <w:highlight w:val="none"/>
          <w:lang w:val="en-US" w:eastAsia="zh-CN"/>
        </w:rPr>
        <w:t>_______________</w:t>
      </w:r>
      <w:r>
        <w:rPr>
          <w:rFonts w:hint="eastAsia" w:ascii="宋体" w:hAnsi="宋体" w:cs="宋体"/>
          <w:b w:val="0"/>
          <w:bCs w:val="0"/>
          <w:sz w:val="24"/>
          <w:highlight w:val="none"/>
          <w:lang w:eastAsia="zh-CN"/>
        </w:rPr>
        <w:t>________）</w:t>
      </w:r>
      <w:r>
        <w:rPr>
          <w:rFonts w:hint="eastAsia" w:ascii="宋体" w:hAnsi="宋体" w:cs="宋体"/>
          <w:b w:val="0"/>
          <w:bCs w:val="0"/>
          <w:sz w:val="24"/>
          <w:highlight w:val="none"/>
          <w:lang w:val="en-US" w:eastAsia="zh-CN"/>
        </w:rPr>
        <w:t>参与贵司2026年电力市场交易售电代理项目，如被评为中选人，承诺为贵司提供以下增值服务：</w:t>
      </w:r>
    </w:p>
    <w:p w14:paraId="63C18C5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为贵司32台变压器提供专业化巡检，提供年度检测报告、安全评估清单及可行性整改方案。</w:t>
      </w:r>
    </w:p>
    <w:p w14:paraId="5A1538B7">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为贵司深中跨市公交博览中心枢纽站屋顶47.415kW光伏（无楼梯）2026年度提供清洗服务不少于3次。</w:t>
      </w:r>
    </w:p>
    <w:p w14:paraId="6D4FC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7BDA46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45E26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4761AC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1283ABB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58F4346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highlight w:val="none"/>
          <w:lang w:val="en-US" w:eastAsia="zh-CN"/>
        </w:rPr>
      </w:pPr>
      <w:r>
        <w:rPr>
          <w:rFonts w:hint="eastAsia" w:ascii="宋体" w:hAnsi="宋体" w:cs="宋体"/>
          <w:b w:val="0"/>
          <w:bCs w:val="0"/>
          <w:sz w:val="24"/>
          <w:highlight w:val="none"/>
          <w:lang w:val="en-US" w:eastAsia="zh-CN"/>
        </w:rPr>
        <w:t>日  期： 年   月   日</w:t>
      </w:r>
    </w:p>
    <w:p w14:paraId="5C06EDE0">
      <w:pPr>
        <w:rPr>
          <w:rFonts w:hint="eastAsia"/>
          <w:highlight w:val="none"/>
          <w:lang w:val="en-US" w:eastAsia="zh-CN"/>
        </w:rPr>
      </w:pPr>
      <w:r>
        <w:rPr>
          <w:rFonts w:hint="eastAsia"/>
          <w:highlight w:val="none"/>
          <w:lang w:val="en-US" w:eastAsia="zh-CN"/>
        </w:rPr>
        <w:br w:type="page"/>
      </w:r>
    </w:p>
    <w:p w14:paraId="16E6A56B">
      <w:pPr>
        <w:pStyle w:val="25"/>
        <w:bidi w:val="0"/>
        <w:rPr>
          <w:rFonts w:hint="eastAsia"/>
          <w:highlight w:val="none"/>
          <w:lang w:val="en-US" w:eastAsia="zh-CN"/>
        </w:rPr>
      </w:pPr>
      <w:bookmarkStart w:id="64" w:name="_Toc9301"/>
      <w:bookmarkStart w:id="65" w:name="_Toc9557"/>
      <w:bookmarkStart w:id="66" w:name="_Toc11597"/>
      <w:bookmarkStart w:id="67" w:name="_Toc17506"/>
      <w:bookmarkStart w:id="68" w:name="_Toc18827"/>
      <w:r>
        <w:rPr>
          <w:rFonts w:hint="eastAsia"/>
          <w:highlight w:val="none"/>
          <w:lang w:val="en-US" w:eastAsia="zh-CN"/>
        </w:rPr>
        <w:t>增值服务承诺书（光伏项目建设）</w:t>
      </w:r>
      <w:bookmarkEnd w:id="64"/>
      <w:bookmarkEnd w:id="65"/>
      <w:bookmarkEnd w:id="66"/>
      <w:bookmarkEnd w:id="67"/>
      <w:bookmarkEnd w:id="68"/>
    </w:p>
    <w:p w14:paraId="55D265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0B6A41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增值服务承诺书</w:t>
      </w:r>
    </w:p>
    <w:p w14:paraId="00883C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5CAD30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435508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我司（参评单位名称：_______________________）参与贵司2026年电力市场交易售电代理项目，如被评为中选人，承诺为贵司提供以下增值服务（至少1项）：</w:t>
      </w:r>
    </w:p>
    <w:p w14:paraId="270B426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为贵司城南公交场站建设屋顶光伏项目（工程额定容量117.00kW）；</w:t>
      </w:r>
    </w:p>
    <w:p w14:paraId="58C16D50">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为贵司坦洲公交场站建设屋顶光伏项目（可研容量283.22kW）；</w:t>
      </w:r>
    </w:p>
    <w:p w14:paraId="45DA7BD5">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建设工期为签订补充合同</w:t>
      </w:r>
      <w:r>
        <w:rPr>
          <w:rFonts w:hint="eastAsia" w:ascii="宋体" w:hAnsi="宋体" w:cs="宋体"/>
          <w:b w:val="0"/>
          <w:bCs w:val="0"/>
          <w:sz w:val="24"/>
          <w:highlight w:val="yellow"/>
          <w:lang w:val="en-US" w:eastAsia="zh-CN"/>
        </w:rPr>
        <w:t>之日</w:t>
      </w:r>
      <w:r>
        <w:rPr>
          <w:rFonts w:hint="eastAsia" w:ascii="宋体" w:hAnsi="宋体" w:cs="宋体"/>
          <w:b w:val="0"/>
          <w:bCs w:val="0"/>
          <w:sz w:val="24"/>
          <w:highlight w:val="none"/>
          <w:lang w:val="en-US" w:eastAsia="zh-CN"/>
        </w:rPr>
        <w:t>起60个日历天内，如逾期则按1000元/天·项目向贵司支付逾期款项；</w:t>
      </w:r>
    </w:p>
    <w:p w14:paraId="049DC89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光伏项目满足评选文件用户需求书的技术规范要求；</w:t>
      </w:r>
    </w:p>
    <w:p w14:paraId="2949FD01">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光伏项目建成后，资产移交需求方，日常运营管理及全部运营收益由需求方负责和享有。</w:t>
      </w:r>
    </w:p>
    <w:p w14:paraId="597EA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58F62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5ACD5F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216E68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56262F7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6735C7C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highlight w:val="none"/>
          <w:lang w:val="en-US" w:eastAsia="zh-CN"/>
        </w:rPr>
      </w:pPr>
      <w:r>
        <w:rPr>
          <w:rFonts w:hint="eastAsia" w:ascii="宋体" w:hAnsi="宋体" w:cs="宋体"/>
          <w:b w:val="0"/>
          <w:bCs w:val="0"/>
          <w:sz w:val="24"/>
          <w:highlight w:val="none"/>
          <w:lang w:val="en-US" w:eastAsia="zh-CN"/>
        </w:rPr>
        <w:t>日  期： 年   月   日</w:t>
      </w:r>
    </w:p>
    <w:p w14:paraId="173C6F3B">
      <w:pPr>
        <w:rPr>
          <w:rFonts w:hint="eastAsia"/>
          <w:highlight w:val="none"/>
          <w:lang w:val="en-US" w:eastAsia="zh-CN"/>
        </w:rPr>
      </w:pPr>
      <w:r>
        <w:rPr>
          <w:rFonts w:hint="eastAsia"/>
          <w:highlight w:val="none"/>
          <w:lang w:val="en-US" w:eastAsia="zh-CN"/>
        </w:rPr>
        <w:br w:type="page"/>
      </w:r>
    </w:p>
    <w:p w14:paraId="002523F6">
      <w:pPr>
        <w:pStyle w:val="25"/>
        <w:bidi w:val="0"/>
        <w:rPr>
          <w:rFonts w:hint="eastAsia"/>
          <w:highlight w:val="none"/>
          <w:lang w:val="en-US" w:eastAsia="zh-CN"/>
        </w:rPr>
      </w:pPr>
      <w:bookmarkStart w:id="69" w:name="_Toc26137"/>
      <w:bookmarkStart w:id="70" w:name="_Toc11075"/>
      <w:bookmarkStart w:id="71" w:name="_Toc2197"/>
      <w:bookmarkStart w:id="72" w:name="_Toc26914"/>
      <w:bookmarkStart w:id="73" w:name="_Toc2973"/>
      <w:r>
        <w:rPr>
          <w:rFonts w:hint="eastAsia"/>
          <w:highlight w:val="none"/>
          <w:lang w:val="en-US" w:eastAsia="zh-CN"/>
        </w:rPr>
        <w:t>增值服务承诺书（充电站项目建设）</w:t>
      </w:r>
      <w:bookmarkEnd w:id="69"/>
      <w:bookmarkEnd w:id="70"/>
      <w:bookmarkEnd w:id="71"/>
      <w:bookmarkEnd w:id="72"/>
      <w:bookmarkEnd w:id="73"/>
    </w:p>
    <w:p w14:paraId="1252F8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24B4A9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增值服务承诺书</w:t>
      </w:r>
    </w:p>
    <w:p w14:paraId="7D354B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1CEB0A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51917F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我司（参评单位名称：_______________________）参与贵司2026年电力市场交易售电代理项目，如被评为中选人，承诺为贵司提供以下增值服务：</w:t>
      </w:r>
    </w:p>
    <w:p w14:paraId="45EFE853">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为贵司广丰公交枢纽站建设充电站（需配置800kVA欧式箱变1台、一体式双枪200kW直流充电桩3台、雨棚尺寸20*6*4.6）；</w:t>
      </w:r>
    </w:p>
    <w:p w14:paraId="400F7483">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为贵司开发区会展中心公交枢纽站建设充电站（需配置630kVA箱变1台，以及640kW柔性充电系统1套。每套系统配备10个直流充电终端，无雨棚；</w:t>
      </w:r>
    </w:p>
    <w:p w14:paraId="3C1CDE37">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为贵司海湾城公交枢纽站建设充电站（现有630kVA变压器1台，需配置一体式双枪200kW直流充电桩3台、雨棚尺寸15*10.5*4.6；</w:t>
      </w:r>
    </w:p>
    <w:p w14:paraId="550187EC">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为贵司沙溪佳兆业公交枢纽站建设充电站（需配置630kVA箱变1台，以及640kW柔性充电系统1套。每套系统配备8个直流充电终端，无雨棚；</w:t>
      </w:r>
    </w:p>
    <w:p w14:paraId="74DC0BC1">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为贵司濠东公交站场建设充电站（需配置800kVA欧式箱变2台，以及800kW柔性充电系统2套。每套系统配备10个直流充电终端，其中包括1个液冷超充终端，无雨棚；</w:t>
      </w:r>
    </w:p>
    <w:p w14:paraId="30EB451A">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建设工期为签订补充合同之日起210个日历天内，如逾期则按1000元/天·项目向贵司支付逾期款项；</w:t>
      </w:r>
    </w:p>
    <w:p w14:paraId="32C095D4">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充电站项目满足评选文件用户需求书的技术规范要求；</w:t>
      </w:r>
    </w:p>
    <w:p w14:paraId="5BCB93CB">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充电站项目建成后，资产移交需求方，日常运营管理及全部运营收益由需求方负责和享有。</w:t>
      </w:r>
    </w:p>
    <w:p w14:paraId="423267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6758D46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val="0"/>
          <w:sz w:val="24"/>
          <w:highlight w:val="none"/>
          <w:lang w:val="en-US" w:eastAsia="zh-CN"/>
        </w:rPr>
      </w:pPr>
    </w:p>
    <w:p w14:paraId="58E8C8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1208F9D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6074A2D6">
      <w:pPr>
        <w:pStyle w:val="25"/>
        <w:numPr>
          <w:ilvl w:val="0"/>
          <w:numId w:val="0"/>
        </w:numPr>
        <w:bidi w:val="0"/>
        <w:ind w:leftChars="0"/>
        <w:jc w:val="right"/>
        <w:outlineLvl w:val="9"/>
        <w:rPr>
          <w:rFonts w:hint="eastAsia"/>
          <w:highlight w:val="none"/>
          <w:lang w:val="en-US" w:eastAsia="zh-CN"/>
        </w:rPr>
      </w:pPr>
      <w:r>
        <w:rPr>
          <w:rFonts w:hint="eastAsia" w:ascii="宋体" w:hAnsi="宋体" w:cs="宋体"/>
          <w:b w:val="0"/>
          <w:bCs w:val="0"/>
          <w:sz w:val="24"/>
          <w:highlight w:val="none"/>
          <w:lang w:val="en-US" w:eastAsia="zh-CN"/>
        </w:rPr>
        <w:t>日  期： 年   月   日</w:t>
      </w:r>
    </w:p>
    <w:p w14:paraId="217393CA">
      <w:pPr>
        <w:ind w:firstLine="0" w:firstLineChars="0"/>
        <w:rPr>
          <w:rFonts w:hint="eastAsia"/>
          <w:highlight w:val="none"/>
          <w:lang w:val="en-US" w:eastAsia="zh-CN"/>
        </w:rPr>
      </w:pPr>
      <w:r>
        <w:rPr>
          <w:rFonts w:hint="eastAsia"/>
          <w:highlight w:val="none"/>
          <w:lang w:val="en-US" w:eastAsia="zh-CN"/>
        </w:rPr>
        <w:br w:type="page"/>
      </w:r>
    </w:p>
    <w:p w14:paraId="36053C33">
      <w:pPr>
        <w:pStyle w:val="25"/>
        <w:bidi w:val="0"/>
        <w:rPr>
          <w:rFonts w:hint="eastAsia"/>
          <w:highlight w:val="none"/>
          <w:lang w:val="en-US" w:eastAsia="zh-CN"/>
        </w:rPr>
      </w:pPr>
      <w:bookmarkStart w:id="74" w:name="_Toc29606"/>
      <w:bookmarkStart w:id="75" w:name="_Toc26632"/>
      <w:bookmarkStart w:id="76" w:name="_Toc9426"/>
      <w:bookmarkStart w:id="77" w:name="_Toc18775"/>
      <w:bookmarkStart w:id="78" w:name="_Toc19140"/>
      <w:r>
        <w:rPr>
          <w:rFonts w:hint="eastAsia"/>
          <w:highlight w:val="none"/>
          <w:lang w:val="en-US" w:eastAsia="zh-CN"/>
        </w:rPr>
        <w:t>增值服务承诺书（绿色能源发展支持）</w:t>
      </w:r>
      <w:bookmarkEnd w:id="74"/>
      <w:bookmarkEnd w:id="75"/>
      <w:bookmarkEnd w:id="76"/>
      <w:bookmarkEnd w:id="77"/>
      <w:bookmarkEnd w:id="78"/>
    </w:p>
    <w:p w14:paraId="404231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0644BD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r>
        <w:rPr>
          <w:rFonts w:hint="eastAsia" w:ascii="宋体" w:hAnsi="宋体" w:cs="宋体"/>
          <w:b/>
          <w:bCs/>
          <w:sz w:val="40"/>
          <w:szCs w:val="40"/>
          <w:highlight w:val="none"/>
          <w:lang w:val="en-US" w:eastAsia="zh-CN"/>
        </w:rPr>
        <w:t>增值服务承诺书</w:t>
      </w:r>
    </w:p>
    <w:p w14:paraId="27E6FA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40"/>
          <w:szCs w:val="40"/>
          <w:highlight w:val="none"/>
          <w:lang w:val="en-US" w:eastAsia="zh-CN"/>
        </w:rPr>
      </w:pPr>
    </w:p>
    <w:p w14:paraId="42AD95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中山市公共交通运输集团有限公司：</w:t>
      </w:r>
    </w:p>
    <w:p w14:paraId="275CBA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我司（参评单位名称：_______________________）参与贵司2026年电力市场交易售电代理项目，如被评为中选人，承诺为贵司提供以下增值服务：</w:t>
      </w:r>
    </w:p>
    <w:p w14:paraId="644F7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承担贵司储能技术服务费用额度_____（大写________）。（贵司、司合作单位、我司签订三方协议，我司代付相应额度，贵司合作单位开具收据给中我司）。</w:t>
      </w:r>
    </w:p>
    <w:p w14:paraId="3F608A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特此承诺！</w:t>
      </w:r>
    </w:p>
    <w:p w14:paraId="347B4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highlight w:val="none"/>
          <w:lang w:val="en-US" w:eastAsia="zh-CN"/>
        </w:rPr>
      </w:pPr>
    </w:p>
    <w:p w14:paraId="7183C2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单位名称：______________（盖章）</w:t>
      </w:r>
    </w:p>
    <w:p w14:paraId="6DF0D43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法人代表或被授权代表签名：</w:t>
      </w:r>
    </w:p>
    <w:p w14:paraId="1548CBCC">
      <w:pPr>
        <w:pStyle w:val="25"/>
        <w:numPr>
          <w:ilvl w:val="0"/>
          <w:numId w:val="0"/>
        </w:numPr>
        <w:bidi w:val="0"/>
        <w:ind w:leftChars="0"/>
        <w:jc w:val="right"/>
        <w:outlineLvl w:val="9"/>
        <w:rPr>
          <w:rFonts w:hint="eastAsia"/>
          <w:highlight w:val="none"/>
          <w:lang w:val="en-US" w:eastAsia="zh-CN"/>
        </w:rPr>
      </w:pPr>
      <w:r>
        <w:rPr>
          <w:rFonts w:hint="eastAsia" w:ascii="宋体" w:hAnsi="宋体" w:cs="宋体"/>
          <w:b w:val="0"/>
          <w:bCs w:val="0"/>
          <w:sz w:val="24"/>
          <w:highlight w:val="none"/>
          <w:lang w:val="en-US" w:eastAsia="zh-CN"/>
        </w:rPr>
        <w:t>日  期： 年   月   日</w:t>
      </w:r>
    </w:p>
    <w:p w14:paraId="73EAA223">
      <w:pPr>
        <w:pStyle w:val="25"/>
        <w:widowControl w:val="0"/>
        <w:numPr>
          <w:ilvl w:val="0"/>
          <w:numId w:val="0"/>
        </w:numPr>
        <w:bidi w:val="0"/>
        <w:spacing w:line="360" w:lineRule="auto"/>
        <w:jc w:val="left"/>
        <w:outlineLvl w:val="9"/>
        <w:rPr>
          <w:rFonts w:hint="eastAsia"/>
          <w:highlight w:val="none"/>
          <w:lang w:val="en-US" w:eastAsia="zh-CN"/>
        </w:rPr>
      </w:pPr>
    </w:p>
    <w:p w14:paraId="5F885235">
      <w:pPr>
        <w:rPr>
          <w:rFonts w:hint="eastAsia"/>
          <w:highlight w:val="none"/>
          <w:lang w:val="en-US" w:eastAsia="zh-CN"/>
        </w:rPr>
      </w:pPr>
      <w:r>
        <w:rPr>
          <w:rFonts w:hint="eastAsia"/>
          <w:highlight w:val="none"/>
          <w:lang w:val="en-US" w:eastAsia="zh-CN"/>
        </w:rPr>
        <w:br w:type="page"/>
      </w:r>
    </w:p>
    <w:p w14:paraId="006F4ADA">
      <w:pPr>
        <w:pStyle w:val="25"/>
        <w:bidi w:val="0"/>
        <w:rPr>
          <w:rFonts w:hint="eastAsia"/>
          <w:highlight w:val="none"/>
          <w:lang w:val="en-US" w:eastAsia="zh-CN"/>
        </w:rPr>
      </w:pPr>
      <w:bookmarkStart w:id="79" w:name="_Toc30564"/>
      <w:bookmarkStart w:id="80" w:name="_Toc32257"/>
      <w:bookmarkStart w:id="81" w:name="_Toc28527"/>
      <w:bookmarkStart w:id="82" w:name="_Toc4500"/>
      <w:bookmarkStart w:id="83" w:name="_Toc32561"/>
      <w:r>
        <w:rPr>
          <w:rFonts w:hint="eastAsia"/>
          <w:highlight w:val="none"/>
          <w:lang w:val="en-US" w:eastAsia="zh-CN"/>
        </w:rPr>
        <w:t>其他资料</w:t>
      </w:r>
      <w:bookmarkEnd w:id="79"/>
      <w:bookmarkEnd w:id="80"/>
      <w:bookmarkEnd w:id="81"/>
      <w:bookmarkEnd w:id="82"/>
      <w:bookmarkEnd w:id="83"/>
    </w:p>
    <w:p w14:paraId="5FF6AC89">
      <w:pPr>
        <w:rPr>
          <w:rFonts w:hint="eastAsia"/>
          <w:highlight w:val="none"/>
          <w:lang w:val="en-US" w:eastAsia="zh-CN"/>
        </w:rPr>
      </w:pPr>
      <w:r>
        <w:rPr>
          <w:rFonts w:hint="eastAsia"/>
          <w:highlight w:val="none"/>
          <w:lang w:val="en-US" w:eastAsia="zh-CN"/>
        </w:rPr>
        <w:br w:type="page"/>
      </w:r>
    </w:p>
    <w:p w14:paraId="0E1F6723">
      <w:pPr>
        <w:pStyle w:val="25"/>
        <w:numPr>
          <w:ilvl w:val="0"/>
          <w:numId w:val="0"/>
        </w:numPr>
        <w:bidi w:val="0"/>
        <w:ind w:leftChars="0"/>
        <w:jc w:val="center"/>
        <w:outlineLvl w:val="9"/>
        <w:rPr>
          <w:rFonts w:hint="eastAsia"/>
          <w:highlight w:val="none"/>
          <w:lang w:val="en-US" w:eastAsia="zh-CN"/>
        </w:rPr>
      </w:pPr>
      <w:bookmarkStart w:id="84" w:name="_Toc21066"/>
      <w:r>
        <w:rPr>
          <w:rFonts w:hint="eastAsia"/>
          <w:highlight w:val="none"/>
          <w:lang w:val="en-US" w:eastAsia="zh-CN"/>
        </w:rPr>
        <w:t>第五部分 附件</w:t>
      </w:r>
      <w:bookmarkEnd w:id="84"/>
    </w:p>
    <w:p w14:paraId="06B9A191">
      <w:pPr>
        <w:numPr>
          <w:ilvl w:val="0"/>
          <w:numId w:val="0"/>
        </w:numPr>
        <w:bidi w:val="0"/>
        <w:ind w:leftChars="0"/>
        <w:rPr>
          <w:rFonts w:hint="eastAsia"/>
          <w:lang w:val="en-US" w:eastAsia="zh-CN"/>
        </w:rPr>
      </w:pPr>
    </w:p>
    <w:p w14:paraId="6AC86A53">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需求方历史用电量（20241101-20251031）</w:t>
      </w:r>
    </w:p>
    <w:p w14:paraId="20226327">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巡检变压器列表</w:t>
      </w:r>
    </w:p>
    <w:p w14:paraId="5454F413">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2026零售交易合同补充合同</w:t>
      </w:r>
    </w:p>
    <w:p w14:paraId="2284EE11">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城南站场屋顶光伏项目工程设计及中介预算</w:t>
      </w:r>
    </w:p>
    <w:p w14:paraId="5D24E002">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广丰公交枢纽站充电站工程设计及概算</w:t>
      </w:r>
    </w:p>
    <w:p w14:paraId="6DB4FD22">
      <w:pPr>
        <w:keepNext w:val="0"/>
        <w:keepLines w:val="0"/>
        <w:pageBreakBefore w:val="0"/>
        <w:widowControl w:val="0"/>
        <w:numPr>
          <w:ilvl w:val="0"/>
          <w:numId w:val="20"/>
        </w:numPr>
        <w:kinsoku/>
        <w:wordWrap/>
        <w:overflowPunct/>
        <w:topLinePunct w:val="0"/>
        <w:autoSpaceDE/>
        <w:autoSpaceDN/>
        <w:bidi w:val="0"/>
        <w:adjustRightInd/>
        <w:snapToGrid/>
        <w:ind w:left="0" w:leftChars="0" w:firstLine="480" w:firstLineChars="200"/>
        <w:textAlignment w:val="auto"/>
        <w:rPr>
          <w:rFonts w:hint="eastAsia"/>
          <w:lang w:val="en-US" w:eastAsia="zh-CN"/>
        </w:rPr>
      </w:pPr>
      <w:r>
        <w:rPr>
          <w:rFonts w:hint="eastAsia"/>
          <w:lang w:val="en-US" w:eastAsia="zh-CN"/>
        </w:rPr>
        <w:t>海湾城公交枢纽站充电站工程设计及概算</w:t>
      </w:r>
    </w:p>
    <w:p w14:paraId="3DEC5083">
      <w:pPr>
        <w:bidi w:val="0"/>
        <w:rPr>
          <w:rFonts w:hint="eastAsia"/>
          <w:lang w:val="en-US" w:eastAsia="zh-CN"/>
        </w:rPr>
      </w:pPr>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845D">
    <w:pPr>
      <w:snapToGrid w:val="0"/>
      <w:rPr>
        <w:rFonts w:hint="eastAsia"/>
        <w:sz w:val="18"/>
      </w:rPr>
    </w:pPr>
  </w:p>
  <w:p w14:paraId="18F5DAD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170E">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0</w:t>
    </w:r>
    <w:r>
      <w:fldChar w:fldCharType="end"/>
    </w:r>
  </w:p>
  <w:p w14:paraId="3116237B">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B5BDA">
    <w:pPr>
      <w:pStyle w:val="10"/>
      <w:ind w:right="360"/>
      <w:rPr>
        <w:rStyle w:val="21"/>
        <w:rFonts w:hint="eastAsia"/>
      </w:rPr>
    </w:pPr>
  </w:p>
  <w:p w14:paraId="028D577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5AF3">
    <w:pPr>
      <w:snapToGrid w:val="0"/>
      <w:rPr>
        <w:rFonts w:hint="eastAsia"/>
        <w:sz w:val="18"/>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DD1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D1DD1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r>
      <w:rPr>
        <w:rFonts w:hint="eastAsia"/>
      </w:rPr>
      <w:t xml:space="preserve">                                    </w:t>
    </w:r>
  </w:p>
  <w:p w14:paraId="56362C11">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F1BF">
    <w:pPr>
      <w:pStyle w:val="11"/>
      <w:pBdr>
        <w:bottom w:val="none" w:color="auto" w:sz="0" w:space="0"/>
      </w:pBdr>
      <w:ind w:left="0"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10DA">
    <w:pPr>
      <w:pStyle w:val="11"/>
      <w:ind w:left="6360" w:hanging="6360" w:hangingChars="2650"/>
      <w:jc w:val="both"/>
      <w:rPr>
        <w:rFonts w:hint="eastAsia"/>
      </w:rPr>
    </w:pPr>
    <w:r>
      <w:rPr>
        <w:rFonts w:ascii="宋体" w:hAnsi="宋体" w:cs="宋体"/>
        <w:kern w:val="0"/>
        <w:sz w:val="24"/>
      </w:rPr>
      <w:drawing>
        <wp:inline distT="0" distB="0" distL="114300" distR="114300">
          <wp:extent cx="304800" cy="381000"/>
          <wp:effectExtent l="0" t="0" r="0" b="0"/>
          <wp:docPr id="1" name="图片 1" descr="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a"/>
                  <pic:cNvPicPr>
                    <a:picLocks noChangeAspect="1"/>
                  </pic:cNvPicPr>
                </pic:nvPicPr>
                <pic:blipFill>
                  <a:blip r:embed="rId1"/>
                  <a:stretch>
                    <a:fillRect/>
                  </a:stretch>
                </pic:blipFill>
                <pic:spPr>
                  <a:xfrm>
                    <a:off x="0" y="0"/>
                    <a:ext cx="304800" cy="381000"/>
                  </a:xfrm>
                  <a:prstGeom prst="rect">
                    <a:avLst/>
                  </a:prstGeom>
                  <a:noFill/>
                  <a:ln>
                    <a:noFill/>
                  </a:ln>
                </pic:spPr>
              </pic:pic>
            </a:graphicData>
          </a:graphic>
        </wp:inline>
      </w:drawing>
    </w:r>
    <w:r>
      <w:rPr>
        <w:rFonts w:hint="eastAsia" w:ascii="宋体" w:hAnsi="宋体" w:cs="宋体"/>
        <w:kern w:val="0"/>
        <w:sz w:val="24"/>
      </w:rPr>
      <w:t xml:space="preserve">                  </w:t>
    </w:r>
    <w:r>
      <w:rPr>
        <w:rFonts w:hint="eastAsia"/>
      </w:rPr>
      <w:t>中山市粮食储备经营管理有限公司选聘搬运单位项目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87299"/>
    <w:multiLevelType w:val="singleLevel"/>
    <w:tmpl w:val="89D87299"/>
    <w:lvl w:ilvl="0" w:tentative="0">
      <w:start w:val="2"/>
      <w:numFmt w:val="chineseCounting"/>
      <w:suff w:val="space"/>
      <w:lvlText w:val="第%1部分"/>
      <w:lvlJc w:val="left"/>
      <w:pPr>
        <w:ind w:left="2520"/>
      </w:pPr>
      <w:rPr>
        <w:rFonts w:hint="eastAsia"/>
      </w:rPr>
    </w:lvl>
  </w:abstractNum>
  <w:abstractNum w:abstractNumId="1">
    <w:nsid w:val="9912A656"/>
    <w:multiLevelType w:val="singleLevel"/>
    <w:tmpl w:val="9912A656"/>
    <w:lvl w:ilvl="0" w:tentative="0">
      <w:start w:val="1"/>
      <w:numFmt w:val="decimal"/>
      <w:lvlText w:val="%1."/>
      <w:lvlJc w:val="left"/>
      <w:pPr>
        <w:ind w:left="425" w:hanging="425"/>
      </w:pPr>
      <w:rPr>
        <w:rFonts w:hint="default"/>
      </w:rPr>
    </w:lvl>
  </w:abstractNum>
  <w:abstractNum w:abstractNumId="2">
    <w:nsid w:val="B54FCFE1"/>
    <w:multiLevelType w:val="singleLevel"/>
    <w:tmpl w:val="B54FCFE1"/>
    <w:lvl w:ilvl="0" w:tentative="0">
      <w:start w:val="1"/>
      <w:numFmt w:val="decimal"/>
      <w:lvlText w:val="%1."/>
      <w:lvlJc w:val="left"/>
      <w:pPr>
        <w:ind w:left="425" w:hanging="425"/>
      </w:pPr>
      <w:rPr>
        <w:rFonts w:hint="default"/>
      </w:rPr>
    </w:lvl>
  </w:abstractNum>
  <w:abstractNum w:abstractNumId="3">
    <w:nsid w:val="BC9CF2F9"/>
    <w:multiLevelType w:val="singleLevel"/>
    <w:tmpl w:val="BC9CF2F9"/>
    <w:lvl w:ilvl="0" w:tentative="0">
      <w:start w:val="1"/>
      <w:numFmt w:val="decimal"/>
      <w:lvlText w:val="%1."/>
      <w:lvlJc w:val="left"/>
      <w:pPr>
        <w:ind w:left="425" w:hanging="425"/>
      </w:pPr>
      <w:rPr>
        <w:rFonts w:hint="default"/>
      </w:rPr>
    </w:lvl>
  </w:abstractNum>
  <w:abstractNum w:abstractNumId="4">
    <w:nsid w:val="BD68E173"/>
    <w:multiLevelType w:val="singleLevel"/>
    <w:tmpl w:val="BD68E173"/>
    <w:lvl w:ilvl="0" w:tentative="0">
      <w:start w:val="4"/>
      <w:numFmt w:val="chineseCounting"/>
      <w:suff w:val="space"/>
      <w:lvlText w:val="第%1部分"/>
      <w:lvlJc w:val="left"/>
      <w:rPr>
        <w:rFonts w:hint="eastAsia"/>
      </w:rPr>
    </w:lvl>
  </w:abstractNum>
  <w:abstractNum w:abstractNumId="5">
    <w:nsid w:val="BDABDB91"/>
    <w:multiLevelType w:val="singleLevel"/>
    <w:tmpl w:val="BDABDB91"/>
    <w:lvl w:ilvl="0" w:tentative="0">
      <w:start w:val="1"/>
      <w:numFmt w:val="decimal"/>
      <w:lvlText w:val="%1."/>
      <w:lvlJc w:val="left"/>
      <w:pPr>
        <w:ind w:left="425" w:hanging="425"/>
      </w:pPr>
      <w:rPr>
        <w:rFonts w:hint="default"/>
      </w:rPr>
    </w:lvl>
  </w:abstractNum>
  <w:abstractNum w:abstractNumId="6">
    <w:nsid w:val="D557F586"/>
    <w:multiLevelType w:val="singleLevel"/>
    <w:tmpl w:val="D557F586"/>
    <w:lvl w:ilvl="0" w:tentative="0">
      <w:start w:val="1"/>
      <w:numFmt w:val="chineseCounting"/>
      <w:suff w:val="nothing"/>
      <w:lvlText w:val="%1、"/>
      <w:lvlJc w:val="left"/>
      <w:rPr>
        <w:rFonts w:hint="eastAsia"/>
      </w:rPr>
    </w:lvl>
  </w:abstractNum>
  <w:abstractNum w:abstractNumId="7">
    <w:nsid w:val="DB7E5877"/>
    <w:multiLevelType w:val="singleLevel"/>
    <w:tmpl w:val="DB7E5877"/>
    <w:lvl w:ilvl="0" w:tentative="0">
      <w:start w:val="1"/>
      <w:numFmt w:val="decimal"/>
      <w:lvlText w:val="(%1)"/>
      <w:lvlJc w:val="left"/>
      <w:pPr>
        <w:ind w:left="425" w:hanging="425"/>
      </w:pPr>
      <w:rPr>
        <w:rFonts w:hint="default"/>
      </w:rPr>
    </w:lvl>
  </w:abstractNum>
  <w:abstractNum w:abstractNumId="8">
    <w:nsid w:val="E4D15054"/>
    <w:multiLevelType w:val="singleLevel"/>
    <w:tmpl w:val="E4D15054"/>
    <w:lvl w:ilvl="0" w:tentative="0">
      <w:start w:val="1"/>
      <w:numFmt w:val="chineseCounting"/>
      <w:suff w:val="space"/>
      <w:lvlText w:val="第%1部分"/>
      <w:lvlJc w:val="left"/>
      <w:rPr>
        <w:rFonts w:hint="eastAsia"/>
      </w:rPr>
    </w:lvl>
  </w:abstractNum>
  <w:abstractNum w:abstractNumId="9">
    <w:nsid w:val="F5643CC1"/>
    <w:multiLevelType w:val="singleLevel"/>
    <w:tmpl w:val="F5643CC1"/>
    <w:lvl w:ilvl="0" w:tentative="0">
      <w:start w:val="1"/>
      <w:numFmt w:val="decimal"/>
      <w:lvlText w:val="%1."/>
      <w:lvlJc w:val="left"/>
      <w:pPr>
        <w:ind w:left="425" w:hanging="425"/>
      </w:pPr>
      <w:rPr>
        <w:rFonts w:hint="default"/>
      </w:rPr>
    </w:lvl>
  </w:abstractNum>
  <w:abstractNum w:abstractNumId="10">
    <w:nsid w:val="F90BEA0D"/>
    <w:multiLevelType w:val="singleLevel"/>
    <w:tmpl w:val="F90BEA0D"/>
    <w:lvl w:ilvl="0" w:tentative="0">
      <w:start w:val="1"/>
      <w:numFmt w:val="chineseCounting"/>
      <w:suff w:val="nothing"/>
      <w:lvlText w:val="（%1）"/>
      <w:lvlJc w:val="left"/>
      <w:pPr>
        <w:ind w:left="0" w:firstLine="420"/>
      </w:pPr>
      <w:rPr>
        <w:rFonts w:hint="eastAsia"/>
      </w:rPr>
    </w:lvl>
  </w:abstractNum>
  <w:abstractNum w:abstractNumId="11">
    <w:nsid w:val="124ECA7F"/>
    <w:multiLevelType w:val="singleLevel"/>
    <w:tmpl w:val="124ECA7F"/>
    <w:lvl w:ilvl="0" w:tentative="0">
      <w:start w:val="1"/>
      <w:numFmt w:val="decimal"/>
      <w:lvlText w:val="%1."/>
      <w:lvlJc w:val="left"/>
      <w:pPr>
        <w:ind w:left="425" w:hanging="425"/>
      </w:pPr>
      <w:rPr>
        <w:rFonts w:hint="default"/>
      </w:rPr>
    </w:lvl>
  </w:abstractNum>
  <w:abstractNum w:abstractNumId="12">
    <w:nsid w:val="1FD611FC"/>
    <w:multiLevelType w:val="singleLevel"/>
    <w:tmpl w:val="1FD611FC"/>
    <w:lvl w:ilvl="0" w:tentative="0">
      <w:start w:val="1"/>
      <w:numFmt w:val="chineseCounting"/>
      <w:suff w:val="nothing"/>
      <w:lvlText w:val="（%1）"/>
      <w:lvlJc w:val="left"/>
      <w:pPr>
        <w:ind w:left="0" w:firstLine="420"/>
      </w:pPr>
      <w:rPr>
        <w:rFonts w:hint="eastAsia"/>
      </w:rPr>
    </w:lvl>
  </w:abstractNum>
  <w:abstractNum w:abstractNumId="13">
    <w:nsid w:val="3F7E71D4"/>
    <w:multiLevelType w:val="singleLevel"/>
    <w:tmpl w:val="3F7E71D4"/>
    <w:lvl w:ilvl="0" w:tentative="0">
      <w:start w:val="1"/>
      <w:numFmt w:val="decimal"/>
      <w:lvlText w:val="(%1)"/>
      <w:lvlJc w:val="left"/>
      <w:pPr>
        <w:ind w:left="425" w:hanging="425"/>
      </w:pPr>
      <w:rPr>
        <w:rFonts w:hint="default"/>
      </w:rPr>
    </w:lvl>
  </w:abstractNum>
  <w:abstractNum w:abstractNumId="14">
    <w:nsid w:val="5195CCD0"/>
    <w:multiLevelType w:val="singleLevel"/>
    <w:tmpl w:val="5195CCD0"/>
    <w:lvl w:ilvl="0" w:tentative="0">
      <w:start w:val="1"/>
      <w:numFmt w:val="chineseCounting"/>
      <w:suff w:val="nothing"/>
      <w:lvlText w:val="（%1）"/>
      <w:lvlJc w:val="left"/>
      <w:pPr>
        <w:ind w:left="0" w:firstLine="420"/>
      </w:pPr>
      <w:rPr>
        <w:rFonts w:hint="eastAsia"/>
        <w:sz w:val="24"/>
        <w:szCs w:val="24"/>
      </w:rPr>
    </w:lvl>
  </w:abstractNum>
  <w:abstractNum w:abstractNumId="15">
    <w:nsid w:val="52C393EC"/>
    <w:multiLevelType w:val="singleLevel"/>
    <w:tmpl w:val="52C393EC"/>
    <w:lvl w:ilvl="0" w:tentative="0">
      <w:start w:val="1"/>
      <w:numFmt w:val="chineseCounting"/>
      <w:suff w:val="nothing"/>
      <w:lvlText w:val="%1、"/>
      <w:lvlJc w:val="left"/>
      <w:pPr>
        <w:ind w:left="0" w:firstLine="420"/>
      </w:pPr>
      <w:rPr>
        <w:rFonts w:hint="eastAsia"/>
      </w:rPr>
    </w:lvl>
  </w:abstractNum>
  <w:abstractNum w:abstractNumId="16">
    <w:nsid w:val="577A2D55"/>
    <w:multiLevelType w:val="multilevel"/>
    <w:tmpl w:val="577A2D55"/>
    <w:lvl w:ilvl="0" w:tentative="0">
      <w:start w:val="1"/>
      <w:numFmt w:val="chineseCounting"/>
      <w:lvlText w:val="%1、"/>
      <w:lvlJc w:val="left"/>
      <w:pPr>
        <w:tabs>
          <w:tab w:val="left" w:pos="0"/>
        </w:tabs>
        <w:ind w:left="624" w:hanging="624"/>
      </w:pPr>
      <w:rPr>
        <w:rFonts w:hint="eastAsia" w:ascii="宋体" w:hAnsi="宋体" w:eastAsia="宋体" w:cs="宋体"/>
        <w:b/>
        <w:bCs/>
        <w:color w:val="auto"/>
      </w:rPr>
    </w:lvl>
    <w:lvl w:ilvl="1" w:tentative="0">
      <w:start w:val="1"/>
      <w:numFmt w:val="decimal"/>
      <w:lvlText w:val="%2、"/>
      <w:lvlJc w:val="left"/>
      <w:pPr>
        <w:tabs>
          <w:tab w:val="left" w:pos="0"/>
        </w:tabs>
        <w:ind w:left="680" w:hanging="680"/>
      </w:pPr>
      <w:rPr>
        <w:rFonts w:hint="eastAsia"/>
        <w:color w:val="auto"/>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6B64473B"/>
    <w:multiLevelType w:val="singleLevel"/>
    <w:tmpl w:val="6B64473B"/>
    <w:lvl w:ilvl="0" w:tentative="0">
      <w:start w:val="1"/>
      <w:numFmt w:val="chineseCounting"/>
      <w:pStyle w:val="25"/>
      <w:suff w:val="nothing"/>
      <w:lvlText w:val="%1、"/>
      <w:lvlJc w:val="left"/>
      <w:pPr>
        <w:ind w:left="0" w:firstLine="420"/>
      </w:pPr>
      <w:rPr>
        <w:rFonts w:hint="eastAsia"/>
      </w:rPr>
    </w:lvl>
  </w:abstractNum>
  <w:abstractNum w:abstractNumId="18">
    <w:nsid w:val="75241526"/>
    <w:multiLevelType w:val="singleLevel"/>
    <w:tmpl w:val="75241526"/>
    <w:lvl w:ilvl="0" w:tentative="0">
      <w:start w:val="1"/>
      <w:numFmt w:val="decimal"/>
      <w:lvlText w:val="%1."/>
      <w:lvlJc w:val="left"/>
      <w:pPr>
        <w:ind w:left="425" w:hanging="425"/>
      </w:pPr>
      <w:rPr>
        <w:rFonts w:hint="default"/>
      </w:rPr>
    </w:lvl>
  </w:abstractNum>
  <w:abstractNum w:abstractNumId="19">
    <w:nsid w:val="77223F6A"/>
    <w:multiLevelType w:val="singleLevel"/>
    <w:tmpl w:val="77223F6A"/>
    <w:lvl w:ilvl="0" w:tentative="0">
      <w:start w:val="1"/>
      <w:numFmt w:val="chineseCounting"/>
      <w:suff w:val="nothing"/>
      <w:lvlText w:val="%1、"/>
      <w:lvlJc w:val="left"/>
      <w:rPr>
        <w:rFonts w:hint="eastAsia"/>
      </w:rPr>
    </w:lvl>
  </w:abstractNum>
  <w:num w:numId="1">
    <w:abstractNumId w:val="17"/>
  </w:num>
  <w:num w:numId="2">
    <w:abstractNumId w:val="4"/>
  </w:num>
  <w:num w:numId="3">
    <w:abstractNumId w:val="8"/>
  </w:num>
  <w:num w:numId="4">
    <w:abstractNumId w:val="16"/>
  </w:num>
  <w:num w:numId="5">
    <w:abstractNumId w:val="12"/>
  </w:num>
  <w:num w:numId="6">
    <w:abstractNumId w:val="14"/>
  </w:num>
  <w:num w:numId="7">
    <w:abstractNumId w:val="10"/>
  </w:num>
  <w:num w:numId="8">
    <w:abstractNumId w:val="0"/>
  </w:num>
  <w:num w:numId="9">
    <w:abstractNumId w:val="19"/>
  </w:num>
  <w:num w:numId="10">
    <w:abstractNumId w:val="9"/>
  </w:num>
  <w:num w:numId="11">
    <w:abstractNumId w:val="1"/>
  </w:num>
  <w:num w:numId="12">
    <w:abstractNumId w:val="11"/>
  </w:num>
  <w:num w:numId="13">
    <w:abstractNumId w:val="13"/>
  </w:num>
  <w:num w:numId="14">
    <w:abstractNumId w:val="7"/>
  </w:num>
  <w:num w:numId="15">
    <w:abstractNumId w:val="15"/>
  </w:num>
  <w:num w:numId="16">
    <w:abstractNumId w:val="6"/>
  </w:num>
  <w:num w:numId="17">
    <w:abstractNumId w:val="3"/>
  </w:num>
  <w:num w:numId="18">
    <w:abstractNumId w:val="5"/>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DE4NmVjZTdhMWNhNjM0Y2ZkZGM4MDg3YzM3MzMifQ=="/>
  </w:docVars>
  <w:rsids>
    <w:rsidRoot w:val="3BE71373"/>
    <w:rsid w:val="00112156"/>
    <w:rsid w:val="00337300"/>
    <w:rsid w:val="00623FEB"/>
    <w:rsid w:val="007C3482"/>
    <w:rsid w:val="00A13158"/>
    <w:rsid w:val="00C0727F"/>
    <w:rsid w:val="0109389A"/>
    <w:rsid w:val="01F5513B"/>
    <w:rsid w:val="02594B85"/>
    <w:rsid w:val="0263637C"/>
    <w:rsid w:val="027A5261"/>
    <w:rsid w:val="032D4610"/>
    <w:rsid w:val="03F83677"/>
    <w:rsid w:val="04501FC7"/>
    <w:rsid w:val="04A95DA5"/>
    <w:rsid w:val="04D91229"/>
    <w:rsid w:val="04DB2E66"/>
    <w:rsid w:val="04EE0B72"/>
    <w:rsid w:val="05142A24"/>
    <w:rsid w:val="051B2158"/>
    <w:rsid w:val="05205135"/>
    <w:rsid w:val="052F6180"/>
    <w:rsid w:val="05373674"/>
    <w:rsid w:val="05D328B4"/>
    <w:rsid w:val="05D86CA0"/>
    <w:rsid w:val="061B3EAE"/>
    <w:rsid w:val="06822D54"/>
    <w:rsid w:val="06AF067A"/>
    <w:rsid w:val="06D249F7"/>
    <w:rsid w:val="072B7D8D"/>
    <w:rsid w:val="074402CA"/>
    <w:rsid w:val="07533B82"/>
    <w:rsid w:val="07706F45"/>
    <w:rsid w:val="077E5B18"/>
    <w:rsid w:val="07BE71A8"/>
    <w:rsid w:val="08187EB9"/>
    <w:rsid w:val="0878109E"/>
    <w:rsid w:val="09201AB8"/>
    <w:rsid w:val="094B64F2"/>
    <w:rsid w:val="099C3EDE"/>
    <w:rsid w:val="09E31FDB"/>
    <w:rsid w:val="09F51922"/>
    <w:rsid w:val="0A136FCD"/>
    <w:rsid w:val="0A3A5124"/>
    <w:rsid w:val="0AAE43D8"/>
    <w:rsid w:val="0B881576"/>
    <w:rsid w:val="0B953DDB"/>
    <w:rsid w:val="0BB9195B"/>
    <w:rsid w:val="0C1B3CF0"/>
    <w:rsid w:val="0C2863A6"/>
    <w:rsid w:val="0C6A1390"/>
    <w:rsid w:val="0C995743"/>
    <w:rsid w:val="0D4F6921"/>
    <w:rsid w:val="0E38469F"/>
    <w:rsid w:val="0E993C21"/>
    <w:rsid w:val="0EDD506E"/>
    <w:rsid w:val="0EF37B6F"/>
    <w:rsid w:val="0F17409B"/>
    <w:rsid w:val="0F1D3938"/>
    <w:rsid w:val="0F280FC4"/>
    <w:rsid w:val="0FDD74F2"/>
    <w:rsid w:val="0FFF7484"/>
    <w:rsid w:val="101A42BE"/>
    <w:rsid w:val="10615A49"/>
    <w:rsid w:val="10B71042"/>
    <w:rsid w:val="115231BD"/>
    <w:rsid w:val="11827E35"/>
    <w:rsid w:val="11CE35B2"/>
    <w:rsid w:val="122C23C5"/>
    <w:rsid w:val="122E3C77"/>
    <w:rsid w:val="12527DCE"/>
    <w:rsid w:val="12641EAA"/>
    <w:rsid w:val="12656690"/>
    <w:rsid w:val="128B3814"/>
    <w:rsid w:val="12F0059C"/>
    <w:rsid w:val="13165988"/>
    <w:rsid w:val="1320633B"/>
    <w:rsid w:val="13473069"/>
    <w:rsid w:val="134F7023"/>
    <w:rsid w:val="136A43EC"/>
    <w:rsid w:val="137D208E"/>
    <w:rsid w:val="139B0F39"/>
    <w:rsid w:val="139E3205"/>
    <w:rsid w:val="14A50F82"/>
    <w:rsid w:val="150B6FE7"/>
    <w:rsid w:val="153479CD"/>
    <w:rsid w:val="15977868"/>
    <w:rsid w:val="15EA37B8"/>
    <w:rsid w:val="15EF58A5"/>
    <w:rsid w:val="16347A1B"/>
    <w:rsid w:val="165760F5"/>
    <w:rsid w:val="16774218"/>
    <w:rsid w:val="16963A07"/>
    <w:rsid w:val="16F43A6B"/>
    <w:rsid w:val="16F84C9B"/>
    <w:rsid w:val="17170316"/>
    <w:rsid w:val="171B28C2"/>
    <w:rsid w:val="1721492C"/>
    <w:rsid w:val="17362524"/>
    <w:rsid w:val="17587820"/>
    <w:rsid w:val="182A7068"/>
    <w:rsid w:val="18860743"/>
    <w:rsid w:val="18A33621"/>
    <w:rsid w:val="18AD19ED"/>
    <w:rsid w:val="197D2691"/>
    <w:rsid w:val="19B870BF"/>
    <w:rsid w:val="19BC1F42"/>
    <w:rsid w:val="19BE3F0C"/>
    <w:rsid w:val="1A29398A"/>
    <w:rsid w:val="1A4154E0"/>
    <w:rsid w:val="1A6158C7"/>
    <w:rsid w:val="1AA00238"/>
    <w:rsid w:val="1B0B4F2F"/>
    <w:rsid w:val="1BB06B12"/>
    <w:rsid w:val="1BF07AAD"/>
    <w:rsid w:val="1C4C33DE"/>
    <w:rsid w:val="1CF00880"/>
    <w:rsid w:val="1CF55E97"/>
    <w:rsid w:val="1CFD43AE"/>
    <w:rsid w:val="1D296092"/>
    <w:rsid w:val="1E207B73"/>
    <w:rsid w:val="1E210FE7"/>
    <w:rsid w:val="1EB1455B"/>
    <w:rsid w:val="1EEB46D2"/>
    <w:rsid w:val="1EF33953"/>
    <w:rsid w:val="1F394761"/>
    <w:rsid w:val="20684B70"/>
    <w:rsid w:val="20D76AF5"/>
    <w:rsid w:val="21A734D8"/>
    <w:rsid w:val="21D72B61"/>
    <w:rsid w:val="21E62DFC"/>
    <w:rsid w:val="224B32E1"/>
    <w:rsid w:val="22C2681B"/>
    <w:rsid w:val="22D53B77"/>
    <w:rsid w:val="22E1799D"/>
    <w:rsid w:val="23201794"/>
    <w:rsid w:val="233F465D"/>
    <w:rsid w:val="23460A7C"/>
    <w:rsid w:val="23AE0A31"/>
    <w:rsid w:val="25A000C6"/>
    <w:rsid w:val="25C61FC9"/>
    <w:rsid w:val="25D429F7"/>
    <w:rsid w:val="25E82C2C"/>
    <w:rsid w:val="260A1B70"/>
    <w:rsid w:val="262827A7"/>
    <w:rsid w:val="26F9344A"/>
    <w:rsid w:val="27231852"/>
    <w:rsid w:val="274A0B04"/>
    <w:rsid w:val="275D0EE5"/>
    <w:rsid w:val="27735434"/>
    <w:rsid w:val="281E51E9"/>
    <w:rsid w:val="28951D06"/>
    <w:rsid w:val="28D320B3"/>
    <w:rsid w:val="29072285"/>
    <w:rsid w:val="29A14238"/>
    <w:rsid w:val="29D2387C"/>
    <w:rsid w:val="29DA121A"/>
    <w:rsid w:val="29DD0B9D"/>
    <w:rsid w:val="2A407548"/>
    <w:rsid w:val="2AB13AC9"/>
    <w:rsid w:val="2B001152"/>
    <w:rsid w:val="2B8A49FE"/>
    <w:rsid w:val="2BE30088"/>
    <w:rsid w:val="2C322044"/>
    <w:rsid w:val="2C531FE6"/>
    <w:rsid w:val="2CB90C8F"/>
    <w:rsid w:val="2CE77BC4"/>
    <w:rsid w:val="2CED3AD0"/>
    <w:rsid w:val="2CF170F8"/>
    <w:rsid w:val="2D4D3EC0"/>
    <w:rsid w:val="2DA83FD5"/>
    <w:rsid w:val="2DAC23D6"/>
    <w:rsid w:val="2DC17C57"/>
    <w:rsid w:val="2DF34DBC"/>
    <w:rsid w:val="2E8C4181"/>
    <w:rsid w:val="2F203143"/>
    <w:rsid w:val="2F2D24E7"/>
    <w:rsid w:val="2F662A91"/>
    <w:rsid w:val="2F722821"/>
    <w:rsid w:val="2FA057F5"/>
    <w:rsid w:val="2FAF34DE"/>
    <w:rsid w:val="2FCD041F"/>
    <w:rsid w:val="2FD26E7C"/>
    <w:rsid w:val="2FD3662F"/>
    <w:rsid w:val="30D54CEC"/>
    <w:rsid w:val="31536583"/>
    <w:rsid w:val="322D73F8"/>
    <w:rsid w:val="32D56C5B"/>
    <w:rsid w:val="33564F34"/>
    <w:rsid w:val="33D05CAD"/>
    <w:rsid w:val="33E62F5A"/>
    <w:rsid w:val="34376CC6"/>
    <w:rsid w:val="344C23E9"/>
    <w:rsid w:val="34563E84"/>
    <w:rsid w:val="34984CB8"/>
    <w:rsid w:val="34EB5B04"/>
    <w:rsid w:val="351B1DBB"/>
    <w:rsid w:val="355C72C0"/>
    <w:rsid w:val="35661D6E"/>
    <w:rsid w:val="36315D3A"/>
    <w:rsid w:val="36704ABB"/>
    <w:rsid w:val="367D2D2D"/>
    <w:rsid w:val="36B31896"/>
    <w:rsid w:val="36D767F8"/>
    <w:rsid w:val="3710050B"/>
    <w:rsid w:val="384F7C6E"/>
    <w:rsid w:val="385B04CF"/>
    <w:rsid w:val="38C04FA9"/>
    <w:rsid w:val="38D655B2"/>
    <w:rsid w:val="39146788"/>
    <w:rsid w:val="39371C96"/>
    <w:rsid w:val="39BC31AE"/>
    <w:rsid w:val="39C90037"/>
    <w:rsid w:val="3A2B2111"/>
    <w:rsid w:val="3AC14675"/>
    <w:rsid w:val="3B1C799A"/>
    <w:rsid w:val="3B70502D"/>
    <w:rsid w:val="3B7B6F8B"/>
    <w:rsid w:val="3BA55463"/>
    <w:rsid w:val="3BE71373"/>
    <w:rsid w:val="3C1943C0"/>
    <w:rsid w:val="3C1A6612"/>
    <w:rsid w:val="3C602BFB"/>
    <w:rsid w:val="3C722C9F"/>
    <w:rsid w:val="3C920833"/>
    <w:rsid w:val="3CDB450B"/>
    <w:rsid w:val="3D02190E"/>
    <w:rsid w:val="3DCE6DA7"/>
    <w:rsid w:val="3E805CB2"/>
    <w:rsid w:val="3F9202A5"/>
    <w:rsid w:val="3FCA294D"/>
    <w:rsid w:val="403B098F"/>
    <w:rsid w:val="406929C0"/>
    <w:rsid w:val="40774C91"/>
    <w:rsid w:val="409B5806"/>
    <w:rsid w:val="40AD71E9"/>
    <w:rsid w:val="40D735C1"/>
    <w:rsid w:val="40E84F5F"/>
    <w:rsid w:val="412F58A4"/>
    <w:rsid w:val="420F2CA7"/>
    <w:rsid w:val="42295B17"/>
    <w:rsid w:val="422D2D68"/>
    <w:rsid w:val="42B27E58"/>
    <w:rsid w:val="42E14381"/>
    <w:rsid w:val="43280F85"/>
    <w:rsid w:val="43B349DE"/>
    <w:rsid w:val="43DE0B83"/>
    <w:rsid w:val="44160B21"/>
    <w:rsid w:val="442E595A"/>
    <w:rsid w:val="445A2900"/>
    <w:rsid w:val="44EF7411"/>
    <w:rsid w:val="459466F0"/>
    <w:rsid w:val="46417A10"/>
    <w:rsid w:val="46984C07"/>
    <w:rsid w:val="46B41894"/>
    <w:rsid w:val="470B6133"/>
    <w:rsid w:val="47B07C9C"/>
    <w:rsid w:val="47B669FA"/>
    <w:rsid w:val="47FA6106"/>
    <w:rsid w:val="484E1A14"/>
    <w:rsid w:val="48C1181D"/>
    <w:rsid w:val="48D650E8"/>
    <w:rsid w:val="49A10911"/>
    <w:rsid w:val="49E40AE8"/>
    <w:rsid w:val="49E650C6"/>
    <w:rsid w:val="4A3E652E"/>
    <w:rsid w:val="4A77763C"/>
    <w:rsid w:val="4ACD7C7C"/>
    <w:rsid w:val="4B591A31"/>
    <w:rsid w:val="4B7940FE"/>
    <w:rsid w:val="4BA353E1"/>
    <w:rsid w:val="4BBA1ED6"/>
    <w:rsid w:val="4BC072CA"/>
    <w:rsid w:val="4BC7068A"/>
    <w:rsid w:val="4BED526B"/>
    <w:rsid w:val="4BFC65E6"/>
    <w:rsid w:val="4D0E1AEC"/>
    <w:rsid w:val="4D2430A4"/>
    <w:rsid w:val="4D711BEF"/>
    <w:rsid w:val="4D794652"/>
    <w:rsid w:val="4DE55E19"/>
    <w:rsid w:val="4E577EB0"/>
    <w:rsid w:val="4F6C798B"/>
    <w:rsid w:val="4FBF748D"/>
    <w:rsid w:val="4FCE6DB0"/>
    <w:rsid w:val="4FCF7E89"/>
    <w:rsid w:val="4FD73056"/>
    <w:rsid w:val="50582293"/>
    <w:rsid w:val="505D0355"/>
    <w:rsid w:val="50A1482A"/>
    <w:rsid w:val="50CD1EFF"/>
    <w:rsid w:val="50F970B0"/>
    <w:rsid w:val="50FE14F1"/>
    <w:rsid w:val="5141379C"/>
    <w:rsid w:val="51BB2504"/>
    <w:rsid w:val="51E951BF"/>
    <w:rsid w:val="5215352B"/>
    <w:rsid w:val="523753C9"/>
    <w:rsid w:val="523C1897"/>
    <w:rsid w:val="523C4B58"/>
    <w:rsid w:val="526C7ABA"/>
    <w:rsid w:val="526F51FE"/>
    <w:rsid w:val="528D23DB"/>
    <w:rsid w:val="5292562D"/>
    <w:rsid w:val="52B219C9"/>
    <w:rsid w:val="53045297"/>
    <w:rsid w:val="537D2167"/>
    <w:rsid w:val="539D298B"/>
    <w:rsid w:val="53AC0356"/>
    <w:rsid w:val="53B048A1"/>
    <w:rsid w:val="541923EC"/>
    <w:rsid w:val="54AC0691"/>
    <w:rsid w:val="54EB2944"/>
    <w:rsid w:val="54FE72C1"/>
    <w:rsid w:val="551C150B"/>
    <w:rsid w:val="5524548F"/>
    <w:rsid w:val="552C0EDB"/>
    <w:rsid w:val="55E077C1"/>
    <w:rsid w:val="55F14D46"/>
    <w:rsid w:val="55F76F37"/>
    <w:rsid w:val="562B0879"/>
    <w:rsid w:val="566226BD"/>
    <w:rsid w:val="566E65B6"/>
    <w:rsid w:val="56A33C92"/>
    <w:rsid w:val="56DB5102"/>
    <w:rsid w:val="570A29A8"/>
    <w:rsid w:val="573E39BB"/>
    <w:rsid w:val="57425ED3"/>
    <w:rsid w:val="57433649"/>
    <w:rsid w:val="57615DA5"/>
    <w:rsid w:val="5776215B"/>
    <w:rsid w:val="58100BA7"/>
    <w:rsid w:val="589143AC"/>
    <w:rsid w:val="58B00E24"/>
    <w:rsid w:val="58FE67EB"/>
    <w:rsid w:val="592F2966"/>
    <w:rsid w:val="599E3C34"/>
    <w:rsid w:val="59B24B71"/>
    <w:rsid w:val="59DF56D3"/>
    <w:rsid w:val="5A3E01AA"/>
    <w:rsid w:val="5AE141DF"/>
    <w:rsid w:val="5B432757"/>
    <w:rsid w:val="5B9C4019"/>
    <w:rsid w:val="5BE06819"/>
    <w:rsid w:val="5BED3C02"/>
    <w:rsid w:val="5BF159B7"/>
    <w:rsid w:val="5CB7658D"/>
    <w:rsid w:val="5CE43981"/>
    <w:rsid w:val="5CE655CD"/>
    <w:rsid w:val="5CF13BE8"/>
    <w:rsid w:val="5D4E247E"/>
    <w:rsid w:val="5D5B4205"/>
    <w:rsid w:val="5D8D744A"/>
    <w:rsid w:val="5DAB78D0"/>
    <w:rsid w:val="5E265C74"/>
    <w:rsid w:val="5EDF3926"/>
    <w:rsid w:val="5F5D12BF"/>
    <w:rsid w:val="5FA44368"/>
    <w:rsid w:val="5FC26020"/>
    <w:rsid w:val="60456558"/>
    <w:rsid w:val="60717746"/>
    <w:rsid w:val="60A14949"/>
    <w:rsid w:val="614B5B06"/>
    <w:rsid w:val="618A479E"/>
    <w:rsid w:val="61C24EF9"/>
    <w:rsid w:val="622B4427"/>
    <w:rsid w:val="6246741B"/>
    <w:rsid w:val="62663E6F"/>
    <w:rsid w:val="63904530"/>
    <w:rsid w:val="63961294"/>
    <w:rsid w:val="63B55005"/>
    <w:rsid w:val="63BC65EA"/>
    <w:rsid w:val="644D361C"/>
    <w:rsid w:val="64792EA0"/>
    <w:rsid w:val="647A688A"/>
    <w:rsid w:val="64B8554A"/>
    <w:rsid w:val="65020980"/>
    <w:rsid w:val="658904F7"/>
    <w:rsid w:val="659B647C"/>
    <w:rsid w:val="65B32E76"/>
    <w:rsid w:val="664C43B8"/>
    <w:rsid w:val="66996E60"/>
    <w:rsid w:val="6760172C"/>
    <w:rsid w:val="67B35F17"/>
    <w:rsid w:val="68035691"/>
    <w:rsid w:val="68440610"/>
    <w:rsid w:val="68C11D22"/>
    <w:rsid w:val="69124F8D"/>
    <w:rsid w:val="691D5B26"/>
    <w:rsid w:val="69591C34"/>
    <w:rsid w:val="695E0316"/>
    <w:rsid w:val="69A821EC"/>
    <w:rsid w:val="69EB1E27"/>
    <w:rsid w:val="69F30994"/>
    <w:rsid w:val="6A5575FD"/>
    <w:rsid w:val="6A89053B"/>
    <w:rsid w:val="6A9E67F3"/>
    <w:rsid w:val="6B2746B7"/>
    <w:rsid w:val="6B295CCB"/>
    <w:rsid w:val="6B766AF2"/>
    <w:rsid w:val="6BE1788A"/>
    <w:rsid w:val="6C233473"/>
    <w:rsid w:val="6CA12BA1"/>
    <w:rsid w:val="6D0B001C"/>
    <w:rsid w:val="6D2A25C0"/>
    <w:rsid w:val="6D9D5F73"/>
    <w:rsid w:val="6DA6376C"/>
    <w:rsid w:val="6DB42C46"/>
    <w:rsid w:val="6DFA2E78"/>
    <w:rsid w:val="6E2711F5"/>
    <w:rsid w:val="6E310312"/>
    <w:rsid w:val="6E8E6BB1"/>
    <w:rsid w:val="6EC8130C"/>
    <w:rsid w:val="6ED529FF"/>
    <w:rsid w:val="6F960E0D"/>
    <w:rsid w:val="6FBD4BCE"/>
    <w:rsid w:val="6FCD39B5"/>
    <w:rsid w:val="70071E5E"/>
    <w:rsid w:val="70512559"/>
    <w:rsid w:val="70BE064A"/>
    <w:rsid w:val="70DC349D"/>
    <w:rsid w:val="70F16556"/>
    <w:rsid w:val="714E6EA3"/>
    <w:rsid w:val="716E3276"/>
    <w:rsid w:val="717007BD"/>
    <w:rsid w:val="71FD03EF"/>
    <w:rsid w:val="72D8539D"/>
    <w:rsid w:val="73604C90"/>
    <w:rsid w:val="7361387E"/>
    <w:rsid w:val="741C67E7"/>
    <w:rsid w:val="7434641A"/>
    <w:rsid w:val="743F7527"/>
    <w:rsid w:val="749A2C87"/>
    <w:rsid w:val="74AF1C00"/>
    <w:rsid w:val="74C27582"/>
    <w:rsid w:val="75347015"/>
    <w:rsid w:val="75490EA9"/>
    <w:rsid w:val="755148B3"/>
    <w:rsid w:val="75F53987"/>
    <w:rsid w:val="7603556B"/>
    <w:rsid w:val="764503B0"/>
    <w:rsid w:val="766B09DE"/>
    <w:rsid w:val="76AE5870"/>
    <w:rsid w:val="76CA7FBB"/>
    <w:rsid w:val="772F05CC"/>
    <w:rsid w:val="77756F4A"/>
    <w:rsid w:val="779A0FFD"/>
    <w:rsid w:val="789447C0"/>
    <w:rsid w:val="78B12A2C"/>
    <w:rsid w:val="78F86E3B"/>
    <w:rsid w:val="790552A8"/>
    <w:rsid w:val="7908577F"/>
    <w:rsid w:val="793E0F4D"/>
    <w:rsid w:val="797506C5"/>
    <w:rsid w:val="79B77147"/>
    <w:rsid w:val="79C2267A"/>
    <w:rsid w:val="7A4A636B"/>
    <w:rsid w:val="7A822072"/>
    <w:rsid w:val="7C1802A4"/>
    <w:rsid w:val="7C364A61"/>
    <w:rsid w:val="7DE06CCB"/>
    <w:rsid w:val="7E12625E"/>
    <w:rsid w:val="7E632D29"/>
    <w:rsid w:val="7F267ABD"/>
    <w:rsid w:val="7F8C2C66"/>
    <w:rsid w:val="7F9F6D22"/>
    <w:rsid w:val="7FB126CD"/>
    <w:rsid w:val="7FC55363"/>
    <w:rsid w:val="7FC8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Times New Roman" w:hAnsi="Times New Roman" w:eastAsia="宋体" w:cs="宋体"/>
      <w:kern w:val="2"/>
      <w:sz w:val="24"/>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line="360" w:lineRule="auto"/>
      <w:jc w:val="center"/>
      <w:outlineLvl w:val="1"/>
    </w:pPr>
    <w:rPr>
      <w:rFonts w:ascii="Arial" w:hAnsi="Arial"/>
      <w:b/>
      <w:bCs/>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3"/>
    <w:basedOn w:val="1"/>
    <w:unhideWhenUsed/>
    <w:qFormat/>
    <w:uiPriority w:val="0"/>
    <w:pPr>
      <w:spacing w:after="120"/>
    </w:pPr>
    <w:rPr>
      <w:sz w:val="16"/>
      <w:szCs w:val="16"/>
    </w:rPr>
  </w:style>
  <w:style w:type="paragraph" w:styleId="7">
    <w:name w:val="Body Text"/>
    <w:basedOn w:val="1"/>
    <w:qFormat/>
    <w:uiPriority w:val="0"/>
    <w:pPr>
      <w:spacing w:after="120" w:afterLines="0"/>
    </w:pPr>
  </w:style>
  <w:style w:type="paragraph" w:styleId="8">
    <w:name w:val="toc 5"/>
    <w:basedOn w:val="1"/>
    <w:next w:val="1"/>
    <w:qFormat/>
    <w:uiPriority w:val="0"/>
    <w:pPr>
      <w:ind w:left="840"/>
      <w:jc w:val="left"/>
    </w:pPr>
    <w:rPr>
      <w:sz w:val="18"/>
      <w:szCs w:val="18"/>
    </w:rPr>
  </w:style>
  <w:style w:type="paragraph" w:styleId="9">
    <w:name w:val="Plain Text"/>
    <w:basedOn w:val="1"/>
    <w:next w:val="4"/>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beforeLines="0" w:after="120" w:afterLines="0"/>
      <w:jc w:val="left"/>
    </w:pPr>
    <w:rPr>
      <w:b/>
      <w:bCs/>
      <w:caps/>
      <w:sz w:val="20"/>
      <w:szCs w:val="20"/>
    </w:rPr>
  </w:style>
  <w:style w:type="paragraph" w:styleId="13">
    <w:name w:val="toc 6"/>
    <w:basedOn w:val="1"/>
    <w:next w:val="1"/>
    <w:qFormat/>
    <w:uiPriority w:val="0"/>
    <w:pPr>
      <w:ind w:left="1050"/>
      <w:jc w:val="left"/>
    </w:pPr>
    <w:rPr>
      <w:sz w:val="18"/>
      <w:szCs w:val="18"/>
    </w:rPr>
  </w:style>
  <w:style w:type="paragraph" w:styleId="14">
    <w:name w:val="toc 2"/>
    <w:basedOn w:val="1"/>
    <w:next w:val="1"/>
    <w:qFormat/>
    <w:uiPriority w:val="39"/>
    <w:pPr>
      <w:tabs>
        <w:tab w:val="right" w:leader="dot" w:pos="9174"/>
      </w:tabs>
      <w:ind w:left="210"/>
      <w:jc w:val="left"/>
    </w:pPr>
    <w:rPr>
      <w:smallCaps/>
      <w:sz w:val="20"/>
      <w:szCs w:val="20"/>
    </w:rPr>
  </w:style>
  <w:style w:type="paragraph" w:styleId="15">
    <w:name w:val="index 1"/>
    <w:basedOn w:val="1"/>
    <w:next w:val="1"/>
    <w:qFormat/>
    <w:uiPriority w:val="0"/>
    <w:pPr>
      <w:tabs>
        <w:tab w:val="left" w:pos="7740"/>
      </w:tabs>
      <w:jc w:val="center"/>
    </w:pPr>
    <w:rPr>
      <w:rFonts w:ascii="宋体" w:hAnsi="宋体"/>
      <w:szCs w:val="21"/>
    </w:rPr>
  </w:style>
  <w:style w:type="paragraph" w:styleId="16">
    <w:name w:val="Title"/>
    <w:basedOn w:val="1"/>
    <w:next w:val="1"/>
    <w:qFormat/>
    <w:uiPriority w:val="10"/>
    <w:pPr>
      <w:spacing w:before="240" w:beforeLines="0" w:after="60" w:afterLines="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17">
    <w:name w:val="Body Text First Indent"/>
    <w:basedOn w:val="7"/>
    <w:next w:val="13"/>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Emphasis"/>
    <w:basedOn w:val="20"/>
    <w:qFormat/>
    <w:uiPriority w:val="0"/>
    <w:rPr>
      <w:i/>
    </w:rPr>
  </w:style>
  <w:style w:type="character" w:styleId="23">
    <w:name w:val="Hyperlink"/>
    <w:qFormat/>
    <w:uiPriority w:val="99"/>
    <w:rPr>
      <w:rFonts w:hint="default" w:ascii="宋体" w:hAnsi="宋体" w:eastAsia="宋体" w:cs="宋体"/>
      <w:color w:val="0000FF"/>
      <w:u w:val="none"/>
    </w:rPr>
  </w:style>
  <w:style w:type="paragraph" w:customStyle="1" w:styleId="24">
    <w:name w:val="表格"/>
    <w:basedOn w:val="1"/>
    <w:qFormat/>
    <w:uiPriority w:val="0"/>
    <w:pPr>
      <w:pBdr>
        <w:top w:val="none" w:color="auto" w:sz="0" w:space="1"/>
        <w:left w:val="none" w:color="auto" w:sz="0" w:space="4"/>
        <w:bottom w:val="none" w:color="auto" w:sz="0" w:space="1"/>
        <w:right w:val="none" w:color="auto" w:sz="0" w:space="4"/>
      </w:pBdr>
      <w:spacing w:line="320" w:lineRule="exact"/>
      <w:ind w:firstLine="0" w:firstLineChars="0"/>
      <w:jc w:val="center"/>
    </w:pPr>
    <w:rPr>
      <w:rFonts w:ascii="宋体" w:hAnsi="宋体" w:eastAsia="宋体"/>
      <w:sz w:val="24"/>
      <w:szCs w:val="24"/>
    </w:rPr>
  </w:style>
  <w:style w:type="paragraph" w:customStyle="1" w:styleId="25">
    <w:name w:val="参评文件大标题"/>
    <w:basedOn w:val="1"/>
    <w:qFormat/>
    <w:uiPriority w:val="0"/>
    <w:pPr>
      <w:numPr>
        <w:ilvl w:val="0"/>
        <w:numId w:val="1"/>
      </w:numPr>
      <w:spacing w:line="360" w:lineRule="auto"/>
      <w:ind w:firstLine="0"/>
      <w:jc w:val="left"/>
      <w:outlineLvl w:val="0"/>
    </w:pPr>
    <w:rPr>
      <w:rFonts w:hint="eastAsia" w:ascii="Times New Roman" w:hAnsi="Times New Roman" w:eastAsia="宋体" w:cs="宋体"/>
      <w:b/>
      <w:bCs/>
      <w:sz w:val="24"/>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5836</Words>
  <Characters>6365</Characters>
  <Lines>0</Lines>
  <Paragraphs>0</Paragraphs>
  <TotalTime>38</TotalTime>
  <ScaleCrop>false</ScaleCrop>
  <LinksUpToDate>false</LinksUpToDate>
  <CharactersWithSpaces>6376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2022-03-29T02:49:00Z</dcterms:created>
  <dc:creator>YYK</dc:creator>
  <cp:lastModifiedBy>企业用户_261659843</cp:lastModifiedBy>
  <cp:lastPrinted>2022-12-16T03:58:00Z</cp:lastPrinted>
  <dcterms:modified xsi:type="dcterms:W3CDTF">2025-12-04T08:02:46Z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2B8EC016BF024BF185678E1B35601B58_13</vt:lpwstr>
  </property>
  <property fmtid="{D5CDD505-2E9C-101B-9397-08002B2CF9AE}" pid="4" name="KSOTemplateDocerSaveRecord">
    <vt:lpwstr>eyJoZGlkIjoiY2ZmOWFmN2NkNWUyY2I5MDE0MDNhYmVhNDg2NTI0YmEiLCJ1c2VySWQiOiIxNTMxMjkyMDI0In0=</vt:lpwstr>
  </property>
</Properties>
</file>