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left="0" w:leftChars="0" w:firstLine="0" w:firstLineChars="0"/>
        <w:jc w:val="left"/>
        <w:rPr>
          <w:rFonts w:hint="eastAsia" w:ascii="宋体" w:hAnsi="宋体"/>
          <w:sz w:val="28"/>
          <w:szCs w:val="28"/>
        </w:rPr>
      </w:pPr>
      <w:r>
        <w:rPr>
          <w:rFonts w:hint="eastAsia" w:ascii="宋体" w:hAnsi="宋体"/>
          <w:sz w:val="28"/>
          <w:szCs w:val="28"/>
        </w:rPr>
        <w:t>附件1：</w:t>
      </w:r>
    </w:p>
    <w:p>
      <w:pPr>
        <w:ind w:left="0" w:leftChars="0" w:firstLine="0" w:firstLineChars="0"/>
        <w:jc w:val="center"/>
        <w:rPr>
          <w:rFonts w:ascii="华文仿宋" w:hAnsi="华文仿宋" w:eastAsia="华文仿宋"/>
          <w:b/>
          <w:bCs/>
          <w:sz w:val="44"/>
          <w:szCs w:val="44"/>
        </w:rPr>
      </w:pPr>
      <w:r>
        <w:rPr>
          <w:rFonts w:hint="eastAsia" w:ascii="华文仿宋" w:hAnsi="华文仿宋" w:eastAsia="华文仿宋"/>
          <w:b/>
          <w:bCs/>
          <w:sz w:val="44"/>
          <w:szCs w:val="44"/>
          <w:lang w:eastAsia="zh-CN"/>
        </w:rPr>
        <w:t>资格要求</w:t>
      </w:r>
    </w:p>
    <w:p>
      <w:pPr>
        <w:ind w:firstLine="560" w:firstLineChars="200"/>
        <w:jc w:val="left"/>
        <w:rPr>
          <w:rFonts w:hint="eastAsia" w:ascii="宋体" w:hAnsi="宋体" w:eastAsia="宋体" w:cs="宋体"/>
          <w:kern w:val="2"/>
          <w:sz w:val="28"/>
          <w:szCs w:val="28"/>
          <w:lang w:val="en-US" w:eastAsia="zh-CN" w:bidi="ar-SA"/>
        </w:rPr>
      </w:pPr>
      <w:r>
        <w:rPr>
          <w:rFonts w:hint="eastAsia" w:ascii="宋体" w:hAnsi="宋体" w:eastAsia="宋体" w:cs="宋体"/>
          <w:kern w:val="2"/>
          <w:sz w:val="28"/>
          <w:szCs w:val="28"/>
          <w:lang w:val="en-US" w:eastAsia="zh-CN" w:bidi="ar-SA"/>
        </w:rPr>
        <w:t>一、应答方必须在工商局登记注册，具备独立法人资格，根据中华人民共和国相关法律合法成立并存在的企业，营业执照处于有效期且营业执照上成立日期显示在2017年1月1日（含）前，企业注册资本在5000万元（含）以上人民币；对于已按商事登记改革要求更换新版营业执照的，应提供商事主体信息最新查询结果（显示经营范围、注册资本等信息）的截屏打印件（加盖公章）；对于已按“三证合一”登记制度更换新版营业执照的（营业执照、组织机构代码证、税务登记证三证合一），须提供由工商部门颁发的加载统一社会信用代码的营业执照。法定代表人为同一人的两个及两个以上法人，母公司、全资子公司及其控股公司，都不能同时参与本项目的应答；</w:t>
      </w:r>
    </w:p>
    <w:p>
      <w:pPr>
        <w:ind w:firstLine="560" w:firstLineChars="200"/>
        <w:jc w:val="left"/>
        <w:rPr>
          <w:rFonts w:hint="eastAsia" w:ascii="宋体" w:hAnsi="宋体" w:eastAsia="宋体" w:cs="宋体"/>
          <w:kern w:val="2"/>
          <w:sz w:val="28"/>
          <w:szCs w:val="28"/>
          <w:lang w:val="en-US" w:eastAsia="zh-CN" w:bidi="ar-SA"/>
        </w:rPr>
      </w:pPr>
      <w:r>
        <w:rPr>
          <w:rFonts w:hint="eastAsia" w:ascii="宋体" w:hAnsi="宋体" w:eastAsia="宋体" w:cs="宋体"/>
          <w:kern w:val="2"/>
          <w:sz w:val="28"/>
          <w:szCs w:val="28"/>
          <w:lang w:val="en-US" w:eastAsia="zh-CN" w:bidi="ar-SA"/>
        </w:rPr>
        <w:t>二、售电资质要求：应答方需具备有广东省经济和信息化委员会颁发的合法售电牌照或相关售电资质的证明文件（复印件加盖公章）；</w:t>
      </w:r>
    </w:p>
    <w:p>
      <w:pPr>
        <w:ind w:firstLine="560" w:firstLineChars="200"/>
        <w:jc w:val="left"/>
        <w:rPr>
          <w:rFonts w:hint="eastAsia" w:ascii="宋体" w:hAnsi="宋体" w:eastAsia="宋体" w:cs="宋体"/>
          <w:kern w:val="2"/>
          <w:sz w:val="28"/>
          <w:szCs w:val="28"/>
          <w:lang w:val="en-US" w:eastAsia="zh-CN" w:bidi="ar-SA"/>
        </w:rPr>
      </w:pPr>
      <w:r>
        <w:rPr>
          <w:rFonts w:hint="eastAsia" w:ascii="宋体" w:hAnsi="宋体" w:eastAsia="宋体" w:cs="宋体"/>
          <w:kern w:val="2"/>
          <w:sz w:val="28"/>
          <w:szCs w:val="28"/>
          <w:lang w:val="en-US" w:eastAsia="zh-CN" w:bidi="ar-SA"/>
        </w:rPr>
        <w:t>三、应答方必须为增值税一般纳税人，须提供税务登记证或税务机关出具的其它证明材料（如税务机关网站查询结果截图，税务机关盖章的《增值税一般纳税人资格登记表》或《增值税一般纳税人资格认定书》等）；</w:t>
      </w:r>
    </w:p>
    <w:p>
      <w:pPr>
        <w:ind w:firstLine="560" w:firstLineChars="200"/>
        <w:jc w:val="left"/>
        <w:rPr>
          <w:rFonts w:hint="eastAsia" w:ascii="宋体" w:hAnsi="宋体" w:eastAsia="宋体" w:cs="宋体"/>
          <w:kern w:val="2"/>
          <w:sz w:val="28"/>
          <w:szCs w:val="28"/>
          <w:lang w:val="en-US" w:eastAsia="zh-CN" w:bidi="ar-SA"/>
        </w:rPr>
      </w:pPr>
      <w:r>
        <w:rPr>
          <w:rFonts w:hint="eastAsia" w:ascii="宋体" w:hAnsi="宋体" w:eastAsia="宋体" w:cs="宋体"/>
          <w:kern w:val="2"/>
          <w:sz w:val="28"/>
          <w:szCs w:val="28"/>
          <w:lang w:val="en-US" w:eastAsia="zh-CN" w:bidi="ar-SA"/>
        </w:rPr>
        <w:t>四、财务要求：遵守国家有关的法律、法令和条例，依法缴纳税收及社保良好记录，无财产被接管或冻结，近三年无不良合作记录；</w:t>
      </w:r>
    </w:p>
    <w:p>
      <w:pPr>
        <w:ind w:firstLine="560" w:firstLineChars="200"/>
        <w:jc w:val="left"/>
        <w:rPr>
          <w:rFonts w:hint="eastAsia" w:ascii="宋体" w:hAnsi="宋体" w:eastAsia="宋体" w:cs="宋体"/>
          <w:kern w:val="2"/>
          <w:sz w:val="28"/>
          <w:szCs w:val="28"/>
          <w:lang w:val="en-US" w:eastAsia="zh-CN" w:bidi="ar-SA"/>
        </w:rPr>
      </w:pPr>
      <w:r>
        <w:rPr>
          <w:rFonts w:hint="eastAsia" w:ascii="宋体" w:hAnsi="宋体" w:eastAsia="宋体" w:cs="宋体"/>
          <w:kern w:val="2"/>
          <w:sz w:val="28"/>
          <w:szCs w:val="28"/>
          <w:lang w:val="en-US" w:eastAsia="zh-CN" w:bidi="ar-SA"/>
        </w:rPr>
        <w:t>五、资产要求：注册资本不低于5000万元。</w:t>
      </w:r>
    </w:p>
    <w:p>
      <w:pPr>
        <w:spacing w:line="360" w:lineRule="auto"/>
        <w:ind w:firstLine="560" w:firstLineChars="200"/>
        <w:jc w:val="left"/>
        <w:rPr>
          <w:rFonts w:hint="eastAsia" w:ascii="宋体" w:hAnsi="宋体"/>
          <w:sz w:val="28"/>
          <w:szCs w:val="28"/>
        </w:rPr>
      </w:pPr>
      <w:r>
        <w:rPr>
          <w:rFonts w:hint="eastAsia" w:ascii="宋体" w:hAnsi="宋体" w:eastAsia="宋体" w:cs="宋体"/>
          <w:kern w:val="2"/>
          <w:sz w:val="28"/>
          <w:szCs w:val="28"/>
          <w:lang w:val="en-US" w:eastAsia="zh-CN" w:bidi="ar-SA"/>
        </w:rPr>
        <w:t>六、不接收联合体应答，不允许转包或分包。</w:t>
      </w:r>
    </w:p>
    <w:p>
      <w:pPr>
        <w:spacing w:line="360" w:lineRule="auto"/>
        <w:jc w:val="left"/>
        <w:rPr>
          <w:rFonts w:ascii="宋体" w:hAnsi="宋体"/>
          <w:sz w:val="28"/>
          <w:szCs w:val="28"/>
        </w:rPr>
      </w:pPr>
      <w:r>
        <w:rPr>
          <w:rFonts w:hint="eastAsia" w:ascii="宋体" w:hAnsi="宋体"/>
          <w:sz w:val="28"/>
          <w:szCs w:val="28"/>
        </w:rPr>
        <w:t>附件2：报价</w:t>
      </w:r>
      <w:r>
        <w:rPr>
          <w:rFonts w:hint="eastAsia" w:ascii="宋体" w:hAnsi="宋体"/>
          <w:sz w:val="28"/>
          <w:szCs w:val="28"/>
          <w:lang w:eastAsia="zh-CN"/>
        </w:rPr>
        <w:t>函</w:t>
      </w:r>
      <w:r>
        <w:rPr>
          <w:rFonts w:hint="eastAsia" w:ascii="宋体" w:hAnsi="宋体"/>
          <w:sz w:val="28"/>
          <w:szCs w:val="28"/>
        </w:rPr>
        <w:t>格式</w:t>
      </w:r>
    </w:p>
    <w:p>
      <w:pPr>
        <w:spacing w:line="560" w:lineRule="exact"/>
        <w:jc w:val="center"/>
        <w:rPr>
          <w:sz w:val="36"/>
          <w:szCs w:val="36"/>
        </w:rPr>
      </w:pPr>
      <w:r>
        <w:rPr>
          <w:rFonts w:hint="eastAsia" w:ascii="宋体" w:hAnsi="宋体"/>
          <w:sz w:val="36"/>
          <w:szCs w:val="36"/>
        </w:rPr>
        <w:t>报价函</w:t>
      </w:r>
    </w:p>
    <w:p>
      <w:pPr>
        <w:ind w:firstLine="560" w:firstLineChars="200"/>
        <w:jc w:val="left"/>
        <w:rPr>
          <w:rFonts w:hint="eastAsia" w:ascii="宋体" w:hAnsi="宋体" w:eastAsia="宋体" w:cs="宋体"/>
          <w:kern w:val="2"/>
          <w:sz w:val="28"/>
          <w:szCs w:val="28"/>
          <w:lang w:val="en-US" w:eastAsia="zh-CN" w:bidi="ar-SA"/>
        </w:rPr>
      </w:pPr>
      <w:r>
        <w:rPr>
          <w:rFonts w:hint="eastAsia" w:ascii="宋体" w:hAnsi="宋体" w:eastAsia="宋体" w:cs="宋体"/>
          <w:kern w:val="2"/>
          <w:sz w:val="28"/>
          <w:szCs w:val="28"/>
          <w:lang w:val="en-US" w:eastAsia="zh-CN" w:bidi="ar-SA"/>
        </w:rPr>
        <w:t>致中山市公共交通运输集团有限公司：</w:t>
      </w:r>
    </w:p>
    <w:tbl>
      <w:tblPr>
        <w:tblStyle w:val="2"/>
        <w:tblpPr w:leftFromText="180" w:rightFromText="180" w:vertAnchor="text" w:horzAnchor="margin" w:tblpXSpec="center" w:tblpY="1392"/>
        <w:tblW w:w="84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7"/>
        <w:gridCol w:w="2410"/>
        <w:gridCol w:w="2835"/>
        <w:gridCol w:w="24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jc w:val="center"/>
        </w:trPr>
        <w:tc>
          <w:tcPr>
            <w:tcW w:w="817"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kern w:val="2"/>
                <w:sz w:val="28"/>
                <w:szCs w:val="28"/>
                <w:lang w:val="en-US" w:eastAsia="zh-CN" w:bidi="ar-SA"/>
              </w:rPr>
            </w:pPr>
            <w:r>
              <w:rPr>
                <w:rFonts w:hint="eastAsia" w:ascii="宋体" w:hAnsi="宋体" w:eastAsia="宋体" w:cs="宋体"/>
                <w:kern w:val="2"/>
                <w:sz w:val="28"/>
                <w:szCs w:val="28"/>
                <w:lang w:val="en-US" w:eastAsia="zh-CN" w:bidi="ar-SA"/>
              </w:rPr>
              <w:t>序号</w:t>
            </w:r>
          </w:p>
        </w:tc>
        <w:tc>
          <w:tcPr>
            <w:tcW w:w="2410" w:type="dxa"/>
            <w:tcBorders>
              <w:top w:val="single" w:color="auto" w:sz="4" w:space="0"/>
              <w:left w:val="single" w:color="auto" w:sz="4" w:space="0"/>
              <w:bottom w:val="single" w:color="auto" w:sz="4" w:space="0"/>
              <w:right w:val="single" w:color="auto" w:sz="4" w:space="0"/>
            </w:tcBorders>
            <w:noWrap w:val="0"/>
            <w:vAlign w:val="center"/>
          </w:tcPr>
          <w:p>
            <w:pPr>
              <w:ind w:firstLine="560" w:firstLineChars="200"/>
              <w:jc w:val="center"/>
              <w:rPr>
                <w:rFonts w:hint="eastAsia" w:ascii="宋体" w:hAnsi="宋体" w:eastAsia="宋体" w:cs="宋体"/>
                <w:kern w:val="2"/>
                <w:sz w:val="28"/>
                <w:szCs w:val="28"/>
                <w:lang w:val="en-US" w:eastAsia="zh-CN" w:bidi="ar-SA"/>
              </w:rPr>
            </w:pPr>
            <w:r>
              <w:rPr>
                <w:rFonts w:hint="eastAsia" w:ascii="宋体" w:hAnsi="宋体" w:eastAsia="宋体" w:cs="宋体"/>
                <w:kern w:val="2"/>
                <w:sz w:val="28"/>
                <w:szCs w:val="28"/>
                <w:lang w:val="en-US" w:eastAsia="zh-CN" w:bidi="ar-SA"/>
              </w:rPr>
              <w:t>项目</w:t>
            </w:r>
          </w:p>
        </w:tc>
        <w:tc>
          <w:tcPr>
            <w:tcW w:w="2835" w:type="dxa"/>
            <w:tcBorders>
              <w:top w:val="single" w:color="auto" w:sz="4" w:space="0"/>
              <w:left w:val="single" w:color="auto" w:sz="4" w:space="0"/>
              <w:bottom w:val="single" w:color="auto" w:sz="4" w:space="0"/>
              <w:right w:val="single" w:color="auto" w:sz="4" w:space="0"/>
            </w:tcBorders>
            <w:noWrap w:val="0"/>
            <w:vAlign w:val="center"/>
          </w:tcPr>
          <w:p>
            <w:pPr>
              <w:ind w:firstLine="560" w:firstLineChars="200"/>
              <w:jc w:val="center"/>
              <w:rPr>
                <w:rFonts w:hint="eastAsia" w:ascii="宋体" w:hAnsi="宋体" w:eastAsia="宋体" w:cs="宋体"/>
                <w:kern w:val="2"/>
                <w:sz w:val="28"/>
                <w:szCs w:val="28"/>
                <w:lang w:val="en-US" w:eastAsia="zh-CN" w:bidi="ar-SA"/>
              </w:rPr>
            </w:pPr>
            <w:r>
              <w:rPr>
                <w:rFonts w:hint="eastAsia" w:ascii="宋体" w:hAnsi="宋体" w:eastAsia="宋体" w:cs="宋体"/>
                <w:kern w:val="2"/>
                <w:sz w:val="28"/>
                <w:szCs w:val="28"/>
                <w:lang w:val="en-US" w:eastAsia="zh-CN" w:bidi="ar-SA"/>
              </w:rPr>
              <w:t>报价</w:t>
            </w:r>
          </w:p>
        </w:tc>
        <w:tc>
          <w:tcPr>
            <w:tcW w:w="2410" w:type="dxa"/>
            <w:tcBorders>
              <w:top w:val="single" w:color="auto" w:sz="4" w:space="0"/>
              <w:left w:val="single" w:color="auto" w:sz="4" w:space="0"/>
              <w:bottom w:val="single" w:color="auto" w:sz="4" w:space="0"/>
              <w:right w:val="single" w:color="auto" w:sz="4" w:space="0"/>
            </w:tcBorders>
            <w:noWrap w:val="0"/>
            <w:vAlign w:val="center"/>
          </w:tcPr>
          <w:p>
            <w:pPr>
              <w:ind w:firstLine="560" w:firstLineChars="200"/>
              <w:jc w:val="center"/>
              <w:rPr>
                <w:rFonts w:hint="eastAsia" w:ascii="宋体" w:hAnsi="宋体" w:eastAsia="宋体" w:cs="宋体"/>
                <w:kern w:val="2"/>
                <w:sz w:val="28"/>
                <w:szCs w:val="28"/>
                <w:lang w:val="en-US" w:eastAsia="zh-CN" w:bidi="ar-SA"/>
              </w:rPr>
            </w:pPr>
            <w:r>
              <w:rPr>
                <w:rFonts w:hint="eastAsia" w:ascii="宋体" w:hAnsi="宋体" w:eastAsia="宋体" w:cs="宋体"/>
                <w:kern w:val="2"/>
                <w:sz w:val="28"/>
                <w:szCs w:val="28"/>
                <w:lang w:val="en-US" w:eastAsia="zh-CN" w:bidi="ar-SA"/>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6" w:hRule="atLeast"/>
          <w:jc w:val="center"/>
        </w:trPr>
        <w:tc>
          <w:tcPr>
            <w:tcW w:w="817" w:type="dxa"/>
            <w:tcBorders>
              <w:top w:val="single" w:color="auto" w:sz="4" w:space="0"/>
              <w:left w:val="single" w:color="auto" w:sz="4" w:space="0"/>
              <w:bottom w:val="single" w:color="auto" w:sz="4" w:space="0"/>
              <w:right w:val="single" w:color="auto" w:sz="4" w:space="0"/>
            </w:tcBorders>
            <w:noWrap w:val="0"/>
            <w:vAlign w:val="center"/>
          </w:tcPr>
          <w:p>
            <w:pPr>
              <w:ind w:firstLine="280" w:firstLineChars="100"/>
              <w:jc w:val="both"/>
              <w:rPr>
                <w:rFonts w:hint="eastAsia" w:ascii="宋体" w:hAnsi="宋体" w:eastAsia="宋体" w:cs="宋体"/>
                <w:kern w:val="2"/>
                <w:sz w:val="28"/>
                <w:szCs w:val="28"/>
                <w:lang w:val="en-US" w:eastAsia="zh-CN" w:bidi="ar-SA"/>
              </w:rPr>
            </w:pPr>
            <w:r>
              <w:rPr>
                <w:rFonts w:hint="eastAsia" w:ascii="宋体" w:hAnsi="宋体" w:eastAsia="宋体" w:cs="宋体"/>
                <w:kern w:val="2"/>
                <w:sz w:val="28"/>
                <w:szCs w:val="28"/>
                <w:lang w:val="en-US" w:eastAsia="zh-CN" w:bidi="ar-SA"/>
              </w:rPr>
              <w:t>1</w:t>
            </w:r>
          </w:p>
        </w:tc>
        <w:tc>
          <w:tcPr>
            <w:tcW w:w="241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kern w:val="2"/>
                <w:sz w:val="28"/>
                <w:szCs w:val="28"/>
                <w:lang w:val="en-US" w:eastAsia="zh-CN" w:bidi="ar-SA"/>
              </w:rPr>
            </w:pPr>
            <w:r>
              <w:rPr>
                <w:rFonts w:hint="eastAsia" w:ascii="宋体" w:hAnsi="宋体" w:eastAsia="宋体" w:cs="宋体"/>
                <w:kern w:val="2"/>
                <w:sz w:val="28"/>
                <w:szCs w:val="28"/>
                <w:lang w:val="en-US" w:eastAsia="zh-CN" w:bidi="ar-SA"/>
              </w:rPr>
              <w:t>差价结算模式的固定价差</w:t>
            </w:r>
          </w:p>
        </w:tc>
        <w:tc>
          <w:tcPr>
            <w:tcW w:w="283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kern w:val="2"/>
                <w:sz w:val="28"/>
                <w:szCs w:val="28"/>
                <w:lang w:val="en-US" w:eastAsia="zh-CN" w:bidi="ar-SA"/>
              </w:rPr>
            </w:pPr>
            <w:r>
              <w:rPr>
                <w:rFonts w:hint="eastAsia" w:ascii="宋体" w:hAnsi="宋体" w:eastAsia="宋体" w:cs="宋体"/>
                <w:kern w:val="2"/>
                <w:sz w:val="28"/>
                <w:szCs w:val="28"/>
                <w:lang w:val="en-US" w:eastAsia="zh-CN" w:bidi="ar-SA"/>
              </w:rPr>
              <w:t>负</w:t>
            </w:r>
            <w:r>
              <w:rPr>
                <w:rFonts w:hint="eastAsia" w:ascii="宋体" w:hAnsi="宋体" w:eastAsia="宋体" w:cs="宋体"/>
                <w:kern w:val="2"/>
                <w:sz w:val="28"/>
                <w:szCs w:val="28"/>
                <w:u w:val="single"/>
                <w:lang w:val="en-US" w:eastAsia="zh-CN" w:bidi="ar-SA"/>
              </w:rPr>
              <w:t xml:space="preserve">      </w:t>
            </w:r>
            <w:r>
              <w:rPr>
                <w:rFonts w:hint="eastAsia" w:ascii="宋体" w:hAnsi="宋体" w:eastAsia="宋体" w:cs="宋体"/>
                <w:kern w:val="2"/>
                <w:sz w:val="28"/>
                <w:szCs w:val="28"/>
                <w:lang w:val="en-US" w:eastAsia="zh-CN" w:bidi="ar-SA"/>
              </w:rPr>
              <w:t>元/千瓦时</w:t>
            </w:r>
          </w:p>
        </w:tc>
        <w:tc>
          <w:tcPr>
            <w:tcW w:w="241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kern w:val="2"/>
                <w:sz w:val="28"/>
                <w:szCs w:val="28"/>
                <w:lang w:val="en-US" w:eastAsia="zh-CN" w:bidi="ar-SA"/>
              </w:rPr>
            </w:pPr>
            <w:r>
              <w:rPr>
                <w:rFonts w:hint="eastAsia" w:ascii="宋体" w:hAnsi="宋体" w:eastAsia="宋体" w:cs="宋体"/>
                <w:kern w:val="2"/>
                <w:sz w:val="28"/>
                <w:szCs w:val="28"/>
                <w:lang w:val="en-US" w:eastAsia="zh-CN" w:bidi="ar-SA"/>
              </w:rPr>
              <w:t>空格处填正数，保留小数点后面三位</w:t>
            </w:r>
            <w:r>
              <w:rPr>
                <w:rFonts w:hint="eastAsia" w:ascii="宋体" w:hAnsi="宋体" w:cs="宋体"/>
                <w:kern w:val="2"/>
                <w:sz w:val="28"/>
                <w:szCs w:val="28"/>
                <w:lang w:val="en-US" w:eastAsia="zh-CN" w:bidi="ar-SA"/>
              </w:rPr>
              <w:t>。</w:t>
            </w:r>
          </w:p>
        </w:tc>
      </w:tr>
    </w:tbl>
    <w:p>
      <w:pPr>
        <w:ind w:firstLine="560" w:firstLineChars="200"/>
        <w:jc w:val="left"/>
        <w:rPr>
          <w:rFonts w:hint="eastAsia" w:ascii="宋体" w:hAnsi="宋体" w:eastAsia="宋体" w:cs="宋体"/>
          <w:kern w:val="2"/>
          <w:sz w:val="28"/>
          <w:szCs w:val="28"/>
          <w:lang w:val="en-US" w:eastAsia="zh-CN" w:bidi="ar-SA"/>
        </w:rPr>
      </w:pPr>
      <w:r>
        <w:rPr>
          <w:rFonts w:hint="eastAsia" w:ascii="宋体" w:hAnsi="宋体" w:eastAsia="宋体" w:cs="宋体"/>
          <w:kern w:val="2"/>
          <w:sz w:val="28"/>
          <w:szCs w:val="28"/>
          <w:lang w:val="en-US" w:eastAsia="zh-CN" w:bidi="ar-SA"/>
        </w:rPr>
        <w:t>我方代理贵方2020年电力市场交易，全额承担2020年电力市场交易的偏差电量考核费和交易手续费。报价如下：</w:t>
      </w:r>
    </w:p>
    <w:p>
      <w:pPr>
        <w:ind w:firstLine="560" w:firstLineChars="200"/>
        <w:jc w:val="left"/>
        <w:rPr>
          <w:rFonts w:hint="eastAsia" w:ascii="宋体" w:hAnsi="宋体" w:eastAsia="宋体" w:cs="宋体"/>
          <w:kern w:val="2"/>
          <w:sz w:val="28"/>
          <w:szCs w:val="28"/>
          <w:lang w:val="en-US" w:eastAsia="zh-CN" w:bidi="ar-SA"/>
        </w:rPr>
      </w:pPr>
    </w:p>
    <w:p>
      <w:pPr>
        <w:ind w:firstLine="560" w:firstLineChars="200"/>
        <w:jc w:val="left"/>
        <w:rPr>
          <w:rFonts w:hint="eastAsia" w:ascii="宋体" w:hAnsi="宋体" w:eastAsia="宋体" w:cs="宋体"/>
          <w:kern w:val="2"/>
          <w:sz w:val="28"/>
          <w:szCs w:val="28"/>
          <w:lang w:val="en-US" w:eastAsia="zh-CN" w:bidi="ar-SA"/>
        </w:rPr>
      </w:pPr>
    </w:p>
    <w:p>
      <w:pPr>
        <w:ind w:firstLine="560" w:firstLineChars="200"/>
        <w:jc w:val="left"/>
        <w:rPr>
          <w:rFonts w:hint="eastAsia" w:ascii="宋体" w:hAnsi="宋体" w:eastAsia="宋体" w:cs="宋体"/>
          <w:kern w:val="2"/>
          <w:sz w:val="28"/>
          <w:szCs w:val="28"/>
          <w:lang w:val="en-US" w:eastAsia="zh-CN" w:bidi="ar-SA"/>
        </w:rPr>
      </w:pPr>
    </w:p>
    <w:p>
      <w:pPr>
        <w:ind w:firstLine="560" w:firstLineChars="200"/>
        <w:jc w:val="left"/>
        <w:rPr>
          <w:rFonts w:hint="eastAsia" w:ascii="宋体" w:hAnsi="宋体" w:eastAsia="宋体" w:cs="宋体"/>
          <w:kern w:val="2"/>
          <w:sz w:val="28"/>
          <w:szCs w:val="28"/>
          <w:lang w:val="en-US" w:eastAsia="zh-CN" w:bidi="ar-SA"/>
        </w:rPr>
      </w:pPr>
      <w:r>
        <w:rPr>
          <w:rFonts w:hint="eastAsia" w:ascii="宋体" w:hAnsi="宋体" w:eastAsia="宋体" w:cs="宋体"/>
          <w:kern w:val="2"/>
          <w:sz w:val="28"/>
          <w:szCs w:val="28"/>
          <w:lang w:val="en-US" w:eastAsia="zh-CN" w:bidi="ar-SA"/>
        </w:rPr>
        <w:t>说明：</w:t>
      </w:r>
    </w:p>
    <w:p>
      <w:pPr>
        <w:ind w:firstLine="560" w:firstLineChars="200"/>
        <w:jc w:val="left"/>
        <w:rPr>
          <w:rFonts w:hint="eastAsia" w:ascii="宋体" w:hAnsi="宋体" w:eastAsia="宋体" w:cs="宋体"/>
          <w:kern w:val="2"/>
          <w:sz w:val="28"/>
          <w:szCs w:val="28"/>
          <w:lang w:val="en-US" w:eastAsia="zh-CN" w:bidi="ar-SA"/>
        </w:rPr>
      </w:pPr>
      <w:r>
        <w:rPr>
          <w:rFonts w:hint="eastAsia" w:ascii="宋体" w:hAnsi="宋体" w:eastAsia="宋体" w:cs="宋体"/>
          <w:kern w:val="2"/>
          <w:sz w:val="28"/>
          <w:szCs w:val="28"/>
          <w:lang w:val="en-US" w:eastAsia="zh-CN" w:bidi="ar-SA"/>
        </w:rPr>
        <w:t>1、贵方的用电量采用固定价差的方案结算。以现行中山市工商业电价价目表为基础，下降固定价格。</w:t>
      </w:r>
    </w:p>
    <w:p>
      <w:pPr>
        <w:ind w:firstLine="560" w:firstLineChars="200"/>
        <w:jc w:val="left"/>
        <w:rPr>
          <w:rFonts w:hint="eastAsia" w:ascii="宋体" w:hAnsi="宋体" w:eastAsia="宋体" w:cs="宋体"/>
          <w:kern w:val="2"/>
          <w:sz w:val="28"/>
          <w:szCs w:val="28"/>
          <w:lang w:val="en-US" w:eastAsia="zh-CN" w:bidi="ar-SA"/>
        </w:rPr>
      </w:pPr>
      <w:r>
        <w:rPr>
          <w:rFonts w:hint="eastAsia" w:ascii="宋体" w:hAnsi="宋体" w:cs="宋体"/>
          <w:kern w:val="2"/>
          <w:sz w:val="28"/>
          <w:szCs w:val="28"/>
          <w:lang w:val="en-US" w:eastAsia="zh-CN" w:bidi="ar-SA"/>
        </w:rPr>
        <w:t>2、</w:t>
      </w:r>
      <w:r>
        <w:rPr>
          <w:rFonts w:hint="eastAsia" w:ascii="宋体" w:hAnsi="宋体" w:eastAsia="宋体" w:cs="宋体"/>
          <w:kern w:val="2"/>
          <w:sz w:val="28"/>
          <w:szCs w:val="28"/>
          <w:lang w:val="en-US" w:eastAsia="zh-CN" w:bidi="ar-SA"/>
        </w:rPr>
        <w:t>以上价格含税，以人民币计价。</w:t>
      </w:r>
    </w:p>
    <w:p>
      <w:pPr>
        <w:ind w:firstLine="560" w:firstLineChars="200"/>
        <w:jc w:val="left"/>
        <w:rPr>
          <w:rFonts w:hint="eastAsia" w:ascii="宋体" w:hAnsi="宋体" w:eastAsia="宋体" w:cs="宋体"/>
          <w:kern w:val="2"/>
          <w:sz w:val="28"/>
          <w:szCs w:val="28"/>
          <w:lang w:val="en-US" w:eastAsia="zh-CN" w:bidi="ar-SA"/>
        </w:rPr>
      </w:pPr>
    </w:p>
    <w:p>
      <w:pPr>
        <w:jc w:val="left"/>
        <w:rPr>
          <w:rFonts w:hint="eastAsia" w:ascii="宋体" w:hAnsi="宋体" w:eastAsia="宋体" w:cs="宋体"/>
          <w:kern w:val="2"/>
          <w:sz w:val="28"/>
          <w:szCs w:val="28"/>
          <w:lang w:val="en-US" w:eastAsia="zh-CN" w:bidi="ar-SA"/>
        </w:rPr>
      </w:pPr>
    </w:p>
    <w:p>
      <w:pPr>
        <w:ind w:firstLine="560" w:firstLineChars="200"/>
        <w:jc w:val="left"/>
        <w:rPr>
          <w:rFonts w:hint="eastAsia" w:ascii="宋体" w:hAnsi="宋体" w:eastAsia="宋体" w:cs="宋体"/>
          <w:kern w:val="2"/>
          <w:sz w:val="28"/>
          <w:szCs w:val="28"/>
          <w:lang w:val="en-US" w:eastAsia="zh-CN" w:bidi="ar-SA"/>
        </w:rPr>
      </w:pPr>
      <w:r>
        <w:rPr>
          <w:rFonts w:hint="eastAsia" w:ascii="宋体" w:hAnsi="宋体" w:eastAsia="宋体" w:cs="宋体"/>
          <w:kern w:val="2"/>
          <w:sz w:val="28"/>
          <w:szCs w:val="28"/>
          <w:lang w:val="en-US" w:eastAsia="zh-CN" w:bidi="ar-SA"/>
        </w:rPr>
        <w:t xml:space="preserve">                     </w:t>
      </w:r>
      <w:r>
        <w:rPr>
          <w:rFonts w:hint="eastAsia" w:ascii="宋体" w:hAnsi="宋体" w:cs="宋体"/>
          <w:kern w:val="2"/>
          <w:sz w:val="28"/>
          <w:szCs w:val="28"/>
          <w:lang w:val="en-US" w:eastAsia="zh-CN" w:bidi="ar-SA"/>
        </w:rPr>
        <w:t xml:space="preserve">     </w:t>
      </w:r>
      <w:r>
        <w:rPr>
          <w:rFonts w:hint="eastAsia" w:ascii="宋体" w:hAnsi="宋体" w:eastAsia="宋体" w:cs="宋体"/>
          <w:kern w:val="2"/>
          <w:sz w:val="28"/>
          <w:szCs w:val="28"/>
          <w:lang w:val="en-US" w:eastAsia="zh-CN" w:bidi="ar-SA"/>
        </w:rPr>
        <w:t xml:space="preserve">应答人（加盖公章）：                  </w:t>
      </w:r>
    </w:p>
    <w:p>
      <w:pPr>
        <w:ind w:firstLine="4200" w:firstLineChars="1500"/>
        <w:jc w:val="left"/>
        <w:rPr>
          <w:rFonts w:hint="eastAsia" w:ascii="宋体" w:hAnsi="宋体" w:eastAsia="宋体" w:cs="宋体"/>
          <w:kern w:val="2"/>
          <w:sz w:val="28"/>
          <w:szCs w:val="28"/>
          <w:lang w:val="en-US" w:eastAsia="zh-CN" w:bidi="ar-SA"/>
        </w:rPr>
      </w:pPr>
      <w:r>
        <w:rPr>
          <w:rFonts w:hint="eastAsia" w:ascii="宋体" w:hAnsi="宋体" w:eastAsia="宋体" w:cs="宋体"/>
          <w:kern w:val="2"/>
          <w:sz w:val="28"/>
          <w:szCs w:val="28"/>
          <w:lang w:val="en-US" w:eastAsia="zh-CN" w:bidi="ar-SA"/>
        </w:rPr>
        <w:t xml:space="preserve">法定代表人或其授权代表签名：                </w:t>
      </w:r>
    </w:p>
    <w:p>
      <w:pPr>
        <w:ind w:firstLine="4760" w:firstLineChars="1700"/>
        <w:jc w:val="left"/>
        <w:rPr>
          <w:rFonts w:hint="default" w:ascii="宋体" w:hAnsi="宋体" w:cs="宋体"/>
          <w:b w:val="0"/>
          <w:bCs w:val="0"/>
          <w:sz w:val="32"/>
          <w:szCs w:val="32"/>
          <w:lang w:val="en-US" w:eastAsia="zh-CN"/>
        </w:rPr>
      </w:pPr>
      <w:r>
        <w:rPr>
          <w:rFonts w:hint="eastAsia" w:ascii="宋体" w:hAnsi="宋体" w:eastAsia="宋体" w:cs="宋体"/>
          <w:kern w:val="2"/>
          <w:sz w:val="28"/>
          <w:szCs w:val="28"/>
          <w:lang w:val="en-US" w:eastAsia="zh-CN" w:bidi="ar-SA"/>
        </w:rPr>
        <w:t xml:space="preserve">2019年   月   日 </w:t>
      </w:r>
      <w:bookmarkStart w:id="0" w:name="_GoBack"/>
      <w:bookmarkEnd w:id="0"/>
    </w:p>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华文仿宋">
    <w:altName w:val="仿宋"/>
    <w:panose1 w:val="02010600040101010101"/>
    <w:charset w:val="86"/>
    <w:family w:val="auto"/>
    <w:pitch w:val="default"/>
    <w:sig w:usb0="00000000" w:usb1="00000000" w:usb2="00000000" w:usb3="00000000" w:csb0="0004009F" w:csb1="DFD7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0BB2E92"/>
    <w:rsid w:val="10BB2E9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 w:type="paragraph" w:styleId="4">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4</TotalTime>
  <ScaleCrop>false</ScaleCrop>
  <LinksUpToDate>false</LinksUpToDate>
  <CharactersWithSpaces>0</CharactersWithSpaces>
  <Application>WPS Office_11.1.0.9208_F1E327BC-269C-435d-A152-05C5408002CA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2019-11-29T07:31:00Z</dcterms:created>
  <dc:creator>SAM哥驾到</dc:creator>
  <cp:lastModifiedBy>SAM哥驾到</cp:lastModifiedBy>
  <dcterms:modified xsi:type="dcterms:W3CDTF">2019-11-29T07:36:25Z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2052-11.1.0.9208</vt:lpwstr>
  </property>
</Properties>
</file>